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511C2" w14:textId="2997566A" w:rsidR="00DC7CEF" w:rsidRPr="001A76CA" w:rsidRDefault="00DC7CEF" w:rsidP="006C0B70">
      <w:pPr>
        <w:tabs>
          <w:tab w:val="left" w:pos="4507"/>
          <w:tab w:val="left" w:pos="8903"/>
        </w:tabs>
        <w:adjustRightInd w:val="0"/>
        <w:snapToGrid w:val="0"/>
        <w:rPr>
          <w:rFonts w:cstheme="minorHAnsi"/>
          <w:sz w:val="22"/>
          <w:szCs w:val="22"/>
        </w:rPr>
      </w:pPr>
      <w:r w:rsidRPr="001A76CA">
        <w:rPr>
          <w:rFonts w:cstheme="minorHAnsi"/>
          <w:sz w:val="22"/>
          <w:szCs w:val="22"/>
        </w:rPr>
        <w:t>This Shared Building Agreement is for _________________________ [</w:t>
      </w:r>
      <w:r w:rsidRPr="001A76CA">
        <w:rPr>
          <w:rFonts w:cstheme="minorHAnsi"/>
          <w:i/>
          <w:iCs/>
          <w:sz w:val="22"/>
          <w:szCs w:val="22"/>
        </w:rPr>
        <w:t>building</w:t>
      </w:r>
      <w:r w:rsidRPr="001A76CA">
        <w:rPr>
          <w:rFonts w:cstheme="minorHAnsi"/>
          <w:sz w:val="22"/>
          <w:szCs w:val="22"/>
        </w:rPr>
        <w:t>] and is endorsed by:</w:t>
      </w:r>
    </w:p>
    <w:p w14:paraId="345E8B7C" w14:textId="77777777" w:rsidR="00DC7CEF" w:rsidRPr="001A76CA" w:rsidRDefault="00DC7CEF" w:rsidP="006C0B70">
      <w:pPr>
        <w:tabs>
          <w:tab w:val="left" w:pos="4507"/>
          <w:tab w:val="left" w:pos="8903"/>
        </w:tabs>
        <w:adjustRightInd w:val="0"/>
        <w:snapToGrid w:val="0"/>
        <w:rPr>
          <w:rFonts w:cstheme="minorHAnsi"/>
          <w:sz w:val="22"/>
          <w:szCs w:val="22"/>
        </w:rPr>
      </w:pPr>
    </w:p>
    <w:p w14:paraId="20C318F0" w14:textId="6A6E2F06" w:rsidR="00DC7CEF" w:rsidRDefault="00DC7CEF" w:rsidP="006C0B70">
      <w:pPr>
        <w:tabs>
          <w:tab w:val="left" w:pos="4507"/>
          <w:tab w:val="left" w:pos="8903"/>
        </w:tabs>
        <w:adjustRightInd w:val="0"/>
        <w:snapToGrid w:val="0"/>
        <w:rPr>
          <w:rFonts w:cstheme="minorHAnsi"/>
          <w:sz w:val="22"/>
          <w:szCs w:val="22"/>
        </w:rPr>
      </w:pPr>
      <w:r w:rsidRPr="001A76CA">
        <w:rPr>
          <w:rFonts w:cstheme="minorHAnsi"/>
          <w:sz w:val="22"/>
          <w:szCs w:val="22"/>
        </w:rPr>
        <w:t>[</w:t>
      </w:r>
      <w:r w:rsidRPr="001A76CA">
        <w:rPr>
          <w:rFonts w:cstheme="minorHAnsi"/>
          <w:i/>
          <w:iCs/>
          <w:sz w:val="22"/>
          <w:szCs w:val="22"/>
        </w:rPr>
        <w:t>Insert names, roles (deans/</w:t>
      </w:r>
      <w:r w:rsidR="00003F8B">
        <w:rPr>
          <w:rFonts w:cstheme="minorHAnsi"/>
          <w:i/>
          <w:iCs/>
          <w:sz w:val="22"/>
          <w:szCs w:val="22"/>
        </w:rPr>
        <w:t>VP</w:t>
      </w:r>
      <w:r w:rsidRPr="001A76CA">
        <w:rPr>
          <w:rFonts w:cstheme="minorHAnsi"/>
          <w:i/>
          <w:iCs/>
          <w:sz w:val="22"/>
          <w:szCs w:val="22"/>
        </w:rPr>
        <w:t>s</w:t>
      </w:r>
      <w:r w:rsidR="008E482F" w:rsidRPr="001A76CA">
        <w:rPr>
          <w:rFonts w:cstheme="minorHAnsi"/>
          <w:i/>
          <w:iCs/>
          <w:sz w:val="22"/>
          <w:szCs w:val="22"/>
        </w:rPr>
        <w:t xml:space="preserve"> of colleges/divisions with assigned space</w:t>
      </w:r>
      <w:r w:rsidRPr="001A76CA">
        <w:rPr>
          <w:rFonts w:cstheme="minorHAnsi"/>
          <w:i/>
          <w:iCs/>
          <w:sz w:val="22"/>
          <w:szCs w:val="22"/>
        </w:rPr>
        <w:t>), and dates</w:t>
      </w:r>
      <w:r w:rsidR="00AD09B7">
        <w:rPr>
          <w:rFonts w:cstheme="minorHAnsi"/>
          <w:i/>
          <w:iCs/>
          <w:sz w:val="22"/>
          <w:szCs w:val="22"/>
        </w:rPr>
        <w:t>; signature lines may be added if desired</w:t>
      </w:r>
      <w:r w:rsidRPr="001A76CA">
        <w:rPr>
          <w:rFonts w:cstheme="minorHAnsi"/>
          <w:sz w:val="22"/>
          <w:szCs w:val="22"/>
        </w:rPr>
        <w:t>]</w:t>
      </w:r>
    </w:p>
    <w:p w14:paraId="3C7A13E0" w14:textId="77777777" w:rsidR="00CE1B07" w:rsidRDefault="00CE1B07" w:rsidP="00CE1B07">
      <w:pPr>
        <w:adjustRightInd w:val="0"/>
        <w:snapToGrid w:val="0"/>
        <w:rPr>
          <w:rFonts w:cstheme="minorHAnsi"/>
          <w:sz w:val="22"/>
          <w:szCs w:val="22"/>
        </w:rPr>
      </w:pPr>
    </w:p>
    <w:p w14:paraId="3259409B" w14:textId="77777777" w:rsidR="00CE1B07" w:rsidRPr="001A76CA" w:rsidRDefault="00CE1B07" w:rsidP="00CE1B07">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Agreement Duration</w:t>
      </w:r>
    </w:p>
    <w:p w14:paraId="2510580C" w14:textId="77777777" w:rsidR="00CE1B07" w:rsidRPr="001A76CA" w:rsidRDefault="00CE1B07" w:rsidP="00CE1B07">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Shared Building Agreements are recommended to be reviewed and updated every three years, unless the Building </w:t>
      </w:r>
      <w:r>
        <w:rPr>
          <w:rFonts w:cstheme="minorHAnsi"/>
          <w:sz w:val="22"/>
          <w:szCs w:val="22"/>
        </w:rPr>
        <w:t xml:space="preserve">Management </w:t>
      </w:r>
      <w:r w:rsidRPr="001A76CA">
        <w:rPr>
          <w:rFonts w:cstheme="minorHAnsi"/>
          <w:sz w:val="22"/>
          <w:szCs w:val="22"/>
        </w:rPr>
        <w:t>Committee agrees that the cycle should be shortened, typically due to a significant change in occupancy.</w:t>
      </w:r>
    </w:p>
    <w:p w14:paraId="7F0E80C0" w14:textId="77777777" w:rsidR="00CE1B07" w:rsidRPr="001A76CA" w:rsidRDefault="00CE1B07" w:rsidP="00CE1B07">
      <w:pPr>
        <w:tabs>
          <w:tab w:val="left" w:pos="4507"/>
          <w:tab w:val="left" w:pos="8903"/>
        </w:tabs>
        <w:adjustRightInd w:val="0"/>
        <w:snapToGrid w:val="0"/>
        <w:spacing w:before="160"/>
        <w:rPr>
          <w:rFonts w:cstheme="minorHAnsi"/>
          <w:sz w:val="22"/>
          <w:szCs w:val="22"/>
        </w:rPr>
      </w:pPr>
      <w:r w:rsidRPr="001A76CA">
        <w:rPr>
          <w:rFonts w:cstheme="minorHAnsi"/>
          <w:sz w:val="22"/>
          <w:szCs w:val="22"/>
        </w:rPr>
        <w:t>This Shared Building Agreement was last reviewed in [</w:t>
      </w:r>
      <w:r w:rsidRPr="001A76CA">
        <w:rPr>
          <w:rFonts w:cstheme="minorHAnsi"/>
          <w:i/>
          <w:iCs/>
          <w:sz w:val="22"/>
          <w:szCs w:val="22"/>
        </w:rPr>
        <w:t>month, year</w:t>
      </w:r>
      <w:r w:rsidRPr="001A76CA">
        <w:rPr>
          <w:rFonts w:cstheme="minorHAnsi"/>
          <w:sz w:val="22"/>
          <w:szCs w:val="22"/>
        </w:rPr>
        <w:t>] and will be reviewed again in [</w:t>
      </w:r>
      <w:r w:rsidRPr="001A76CA">
        <w:rPr>
          <w:rFonts w:cstheme="minorHAnsi"/>
          <w:i/>
          <w:iCs/>
          <w:sz w:val="22"/>
          <w:szCs w:val="22"/>
        </w:rPr>
        <w:t>month, year</w:t>
      </w:r>
      <w:r w:rsidRPr="001A76CA">
        <w:rPr>
          <w:rFonts w:cstheme="minorHAnsi"/>
          <w:sz w:val="22"/>
          <w:szCs w:val="22"/>
        </w:rPr>
        <w:t>].</w:t>
      </w:r>
    </w:p>
    <w:p w14:paraId="66E6B9FD" w14:textId="77777777" w:rsidR="00CE1B07" w:rsidRPr="001A76CA" w:rsidRDefault="00CE1B07" w:rsidP="00CE1B07">
      <w:pPr>
        <w:tabs>
          <w:tab w:val="left" w:pos="4507"/>
          <w:tab w:val="left" w:pos="8903"/>
        </w:tabs>
        <w:adjustRightInd w:val="0"/>
        <w:snapToGrid w:val="0"/>
        <w:rPr>
          <w:rFonts w:cstheme="minorHAnsi"/>
          <w:sz w:val="22"/>
          <w:szCs w:val="22"/>
        </w:rPr>
      </w:pPr>
    </w:p>
    <w:p w14:paraId="49309D2D" w14:textId="77777777" w:rsidR="000F3E70" w:rsidRPr="001A76CA" w:rsidRDefault="000F3E70" w:rsidP="000F3E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Purpose</w:t>
      </w:r>
    </w:p>
    <w:p w14:paraId="690A9100" w14:textId="77777777" w:rsidR="000F3E70" w:rsidRPr="001A76CA" w:rsidRDefault="000F3E70" w:rsidP="000F3E70">
      <w:pPr>
        <w:adjustRightInd w:val="0"/>
        <w:snapToGrid w:val="0"/>
        <w:spacing w:before="80"/>
        <w:rPr>
          <w:rFonts w:eastAsia="Times New Roman" w:cstheme="minorHAnsi"/>
          <w:sz w:val="22"/>
          <w:szCs w:val="22"/>
        </w:rPr>
      </w:pPr>
      <w:r w:rsidRPr="001A76CA">
        <w:rPr>
          <w:rFonts w:eastAsia="Times New Roman" w:cstheme="minorHAnsi"/>
          <w:sz w:val="22"/>
          <w:szCs w:val="22"/>
        </w:rPr>
        <w:t xml:space="preserve">Shared academic buildings serve as essential hubs for learning and collaboration within Cornell.  Clear and consistent expectations regarding decision-making and operational controls are vital to ensure that these facilities remain consistent with their intended purpose.  </w:t>
      </w:r>
    </w:p>
    <w:p w14:paraId="55699C0B" w14:textId="77777777" w:rsidR="000F3E70" w:rsidRPr="001A76CA" w:rsidRDefault="000F3E70" w:rsidP="000F3E70">
      <w:pPr>
        <w:adjustRightInd w:val="0"/>
        <w:snapToGrid w:val="0"/>
        <w:spacing w:before="160"/>
        <w:rPr>
          <w:rFonts w:cstheme="minorHAnsi"/>
          <w:sz w:val="22"/>
          <w:szCs w:val="22"/>
        </w:rPr>
      </w:pPr>
      <w:r w:rsidRPr="001A76CA">
        <w:rPr>
          <w:rFonts w:eastAsia="Times New Roman" w:cstheme="minorHAnsi"/>
          <w:sz w:val="22"/>
          <w:szCs w:val="22"/>
        </w:rPr>
        <w:t>This document outlines expectations for governance and guidelines for managing operations to:</w:t>
      </w:r>
    </w:p>
    <w:p w14:paraId="4F94332D"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optimize positive interactions amongst academic, research, outreach, cultural, and operational activities;</w:t>
      </w:r>
    </w:p>
    <w:p w14:paraId="037C35BE"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encourage collaboration, partnering, and interdisciplinary connections;</w:t>
      </w:r>
    </w:p>
    <w:p w14:paraId="4F267F2F"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reinforce ties between research and undergraduate teaching;</w:t>
      </w:r>
    </w:p>
    <w:p w14:paraId="12E9FAA7"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encourage social interactions and vitality to foster a sense of shared community, and</w:t>
      </w:r>
    </w:p>
    <w:p w14:paraId="3541A492" w14:textId="77777777" w:rsidR="000F3E70" w:rsidRPr="001A76CA" w:rsidRDefault="000F3E70" w:rsidP="000F3E70">
      <w:pPr>
        <w:pStyle w:val="ListParagraph"/>
        <w:numPr>
          <w:ilvl w:val="0"/>
          <w:numId w:val="12"/>
        </w:numPr>
        <w:tabs>
          <w:tab w:val="left" w:pos="4507"/>
          <w:tab w:val="left" w:pos="8903"/>
        </w:tabs>
        <w:adjustRightInd w:val="0"/>
        <w:snapToGrid w:val="0"/>
        <w:ind w:left="360"/>
        <w:contextualSpacing w:val="0"/>
        <w:rPr>
          <w:rFonts w:cstheme="minorHAnsi"/>
          <w:sz w:val="22"/>
          <w:szCs w:val="22"/>
        </w:rPr>
      </w:pPr>
      <w:r w:rsidRPr="001A76CA">
        <w:rPr>
          <w:rFonts w:cstheme="minorHAnsi"/>
          <w:sz w:val="22"/>
          <w:szCs w:val="22"/>
        </w:rPr>
        <w:t>enhance functional and administrative efficiencies.</w:t>
      </w:r>
    </w:p>
    <w:p w14:paraId="7952726F" w14:textId="77777777" w:rsidR="009D2E33" w:rsidRPr="001A76CA" w:rsidRDefault="009D2E33" w:rsidP="006C0B70">
      <w:pPr>
        <w:tabs>
          <w:tab w:val="left" w:pos="4507"/>
          <w:tab w:val="left" w:pos="8903"/>
        </w:tabs>
        <w:adjustRightInd w:val="0"/>
        <w:snapToGrid w:val="0"/>
        <w:rPr>
          <w:rFonts w:cstheme="minorHAnsi"/>
          <w:sz w:val="22"/>
          <w:szCs w:val="22"/>
        </w:rPr>
      </w:pPr>
    </w:p>
    <w:p w14:paraId="6AFCF54C" w14:textId="0F1DB74C" w:rsidR="009D2E33" w:rsidRPr="001A76CA" w:rsidRDefault="009D2E33" w:rsidP="006C0B70">
      <w:pPr>
        <w:adjustRightInd w:val="0"/>
        <w:snapToGrid w:val="0"/>
        <w:jc w:val="center"/>
        <w:rPr>
          <w:rFonts w:cstheme="minorHAnsi"/>
          <w:sz w:val="22"/>
          <w:szCs w:val="22"/>
          <w:u w:val="single"/>
        </w:rPr>
      </w:pPr>
      <w:r w:rsidRPr="001A76CA">
        <w:rPr>
          <w:rFonts w:cstheme="minorHAnsi"/>
          <w:sz w:val="22"/>
          <w:szCs w:val="22"/>
          <w:u w:val="single"/>
        </w:rPr>
        <w:t xml:space="preserve">Governance </w:t>
      </w:r>
      <w:r w:rsidR="00352BDB" w:rsidRPr="001A76CA">
        <w:rPr>
          <w:rFonts w:cstheme="minorHAnsi"/>
          <w:sz w:val="22"/>
          <w:szCs w:val="22"/>
          <w:u w:val="single"/>
        </w:rPr>
        <w:t>S</w:t>
      </w:r>
      <w:r w:rsidRPr="001A76CA">
        <w:rPr>
          <w:rFonts w:cstheme="minorHAnsi"/>
          <w:sz w:val="22"/>
          <w:szCs w:val="22"/>
          <w:u w:val="single"/>
        </w:rPr>
        <w:t>tructure</w:t>
      </w:r>
    </w:p>
    <w:p w14:paraId="0F12C902" w14:textId="494FAFAF" w:rsidR="000F75B5" w:rsidRDefault="000F75B5" w:rsidP="00410A94">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The Building </w:t>
      </w:r>
      <w:r w:rsidR="007C080F">
        <w:rPr>
          <w:rFonts w:cstheme="minorHAnsi"/>
          <w:sz w:val="22"/>
          <w:szCs w:val="22"/>
        </w:rPr>
        <w:t xml:space="preserve">Management </w:t>
      </w:r>
      <w:r w:rsidRPr="001A76CA">
        <w:rPr>
          <w:rFonts w:cstheme="minorHAnsi"/>
          <w:sz w:val="22"/>
          <w:szCs w:val="22"/>
        </w:rPr>
        <w:t>Committee (B</w:t>
      </w:r>
      <w:r w:rsidR="007C080F">
        <w:rPr>
          <w:rFonts w:cstheme="minorHAnsi"/>
          <w:sz w:val="22"/>
          <w:szCs w:val="22"/>
        </w:rPr>
        <w:t>M</w:t>
      </w:r>
      <w:r w:rsidRPr="001A76CA">
        <w:rPr>
          <w:rFonts w:cstheme="minorHAnsi"/>
          <w:sz w:val="22"/>
          <w:szCs w:val="22"/>
        </w:rPr>
        <w:t xml:space="preserve">C) </w:t>
      </w:r>
      <w:r w:rsidR="0047509D" w:rsidRPr="001A76CA">
        <w:rPr>
          <w:rFonts w:cstheme="minorHAnsi"/>
          <w:sz w:val="22"/>
          <w:szCs w:val="22"/>
        </w:rPr>
        <w:t xml:space="preserve">meets as needed and </w:t>
      </w:r>
      <w:r w:rsidR="007C080F">
        <w:rPr>
          <w:rFonts w:cstheme="minorHAnsi"/>
          <w:sz w:val="22"/>
          <w:szCs w:val="22"/>
        </w:rPr>
        <w:t>typically includes the following roles representing each college/school in the building and the Research Division, as appropriate:</w:t>
      </w:r>
    </w:p>
    <w:p w14:paraId="3CDDBFE9" w14:textId="1BA08454"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College Officer</w:t>
      </w:r>
    </w:p>
    <w:p w14:paraId="63DC1D9F" w14:textId="4A39CA5A"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Registrar</w:t>
      </w:r>
    </w:p>
    <w:p w14:paraId="063157D7" w14:textId="73AA8B6B" w:rsidR="007C080F" w:rsidRPr="00423CC9"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Director of Facilities</w:t>
      </w:r>
    </w:p>
    <w:p w14:paraId="312AA1A7" w14:textId="629F4215" w:rsidR="007C080F" w:rsidRDefault="007C080F" w:rsidP="00423CC9">
      <w:pPr>
        <w:pStyle w:val="ListParagraph"/>
        <w:numPr>
          <w:ilvl w:val="0"/>
          <w:numId w:val="20"/>
        </w:numPr>
        <w:tabs>
          <w:tab w:val="left" w:pos="4507"/>
          <w:tab w:val="left" w:pos="8903"/>
        </w:tabs>
        <w:adjustRightInd w:val="0"/>
        <w:snapToGrid w:val="0"/>
        <w:rPr>
          <w:rFonts w:cstheme="minorHAnsi"/>
          <w:sz w:val="22"/>
          <w:szCs w:val="22"/>
        </w:rPr>
      </w:pPr>
      <w:r w:rsidRPr="00423CC9">
        <w:rPr>
          <w:rFonts w:cstheme="minorHAnsi"/>
          <w:sz w:val="22"/>
          <w:szCs w:val="22"/>
        </w:rPr>
        <w:t>Director of IT</w:t>
      </w:r>
    </w:p>
    <w:p w14:paraId="0E3AC1CC" w14:textId="6BF4440D" w:rsidR="001C70C5" w:rsidRPr="00423CC9" w:rsidRDefault="001C70C5" w:rsidP="00423CC9">
      <w:pPr>
        <w:pStyle w:val="ListParagraph"/>
        <w:numPr>
          <w:ilvl w:val="0"/>
          <w:numId w:val="20"/>
        </w:numPr>
        <w:tabs>
          <w:tab w:val="left" w:pos="4507"/>
          <w:tab w:val="left" w:pos="8903"/>
        </w:tabs>
        <w:adjustRightInd w:val="0"/>
        <w:snapToGrid w:val="0"/>
        <w:rPr>
          <w:rFonts w:cstheme="minorHAnsi"/>
          <w:sz w:val="22"/>
          <w:szCs w:val="22"/>
        </w:rPr>
      </w:pPr>
      <w:r>
        <w:rPr>
          <w:rFonts w:cstheme="minorHAnsi"/>
          <w:sz w:val="22"/>
          <w:szCs w:val="22"/>
        </w:rPr>
        <w:t>Building Coordinator/Facility Manager</w:t>
      </w:r>
    </w:p>
    <w:p w14:paraId="1389DFDE" w14:textId="2CB6D24B" w:rsidR="007C080F" w:rsidRDefault="007C080F" w:rsidP="00AD09B7">
      <w:pPr>
        <w:tabs>
          <w:tab w:val="left" w:pos="4507"/>
          <w:tab w:val="left" w:pos="8903"/>
        </w:tabs>
        <w:adjustRightInd w:val="0"/>
        <w:snapToGrid w:val="0"/>
        <w:spacing w:before="160"/>
        <w:rPr>
          <w:rFonts w:cstheme="minorHAnsi"/>
          <w:sz w:val="22"/>
          <w:szCs w:val="22"/>
        </w:rPr>
      </w:pPr>
      <w:r>
        <w:rPr>
          <w:rFonts w:cstheme="minorHAnsi"/>
          <w:sz w:val="22"/>
          <w:szCs w:val="22"/>
        </w:rPr>
        <w:t>The BMC may choose to create standing or ad hoc subcommittees on topics of special interest, e.g., classroom fit-out, named and public spaces.</w:t>
      </w:r>
    </w:p>
    <w:p w14:paraId="63E87E40" w14:textId="39D04005" w:rsidR="000F75B5" w:rsidRPr="001A76CA" w:rsidRDefault="000F75B5" w:rsidP="00AD09B7">
      <w:pPr>
        <w:tabs>
          <w:tab w:val="left" w:pos="4507"/>
          <w:tab w:val="left" w:pos="8903"/>
        </w:tabs>
        <w:adjustRightInd w:val="0"/>
        <w:snapToGrid w:val="0"/>
        <w:spacing w:before="160"/>
        <w:rPr>
          <w:rFonts w:cstheme="minorHAnsi"/>
          <w:sz w:val="22"/>
          <w:szCs w:val="22"/>
        </w:rPr>
      </w:pPr>
      <w:r w:rsidRPr="001A76CA">
        <w:rPr>
          <w:rFonts w:cstheme="minorHAnsi"/>
          <w:sz w:val="22"/>
          <w:szCs w:val="22"/>
        </w:rPr>
        <w:t>The B</w:t>
      </w:r>
      <w:r w:rsidR="00C17CF9">
        <w:rPr>
          <w:rFonts w:cstheme="minorHAnsi"/>
          <w:sz w:val="22"/>
          <w:szCs w:val="22"/>
        </w:rPr>
        <w:t>M</w:t>
      </w:r>
      <w:r w:rsidRPr="001A76CA">
        <w:rPr>
          <w:rFonts w:cstheme="minorHAnsi"/>
          <w:sz w:val="22"/>
          <w:szCs w:val="22"/>
        </w:rPr>
        <w:t>C chair position rotates annually through each academic college present in the building.</w:t>
      </w:r>
    </w:p>
    <w:p w14:paraId="60FBDFCE" w14:textId="77777777" w:rsidR="00CE1B07" w:rsidRDefault="00CE1B07">
      <w:pPr>
        <w:rPr>
          <w:rFonts w:cstheme="minorHAnsi"/>
          <w:sz w:val="22"/>
          <w:szCs w:val="22"/>
        </w:rPr>
      </w:pPr>
      <w:r>
        <w:rPr>
          <w:rFonts w:cstheme="minorHAnsi"/>
          <w:sz w:val="22"/>
          <w:szCs w:val="22"/>
        </w:rPr>
        <w:br w:type="page"/>
      </w:r>
    </w:p>
    <w:p w14:paraId="4AD4289B" w14:textId="1B6DDE75" w:rsidR="000F75B5" w:rsidRPr="001A76CA" w:rsidRDefault="00060AA3" w:rsidP="00AD09B7">
      <w:pPr>
        <w:tabs>
          <w:tab w:val="left" w:pos="4507"/>
          <w:tab w:val="left" w:pos="8903"/>
        </w:tabs>
        <w:adjustRightInd w:val="0"/>
        <w:snapToGrid w:val="0"/>
        <w:spacing w:before="160"/>
        <w:rPr>
          <w:rFonts w:cstheme="minorHAnsi"/>
          <w:sz w:val="22"/>
          <w:szCs w:val="22"/>
        </w:rPr>
      </w:pPr>
      <w:r w:rsidRPr="001A76CA">
        <w:rPr>
          <w:rFonts w:cstheme="minorHAnsi"/>
          <w:sz w:val="22"/>
          <w:szCs w:val="22"/>
        </w:rPr>
        <w:lastRenderedPageBreak/>
        <w:t>The B</w:t>
      </w:r>
      <w:r w:rsidR="00C17CF9">
        <w:rPr>
          <w:rFonts w:cstheme="minorHAnsi"/>
          <w:sz w:val="22"/>
          <w:szCs w:val="22"/>
        </w:rPr>
        <w:t>M</w:t>
      </w:r>
      <w:r w:rsidRPr="001A76CA">
        <w:rPr>
          <w:rFonts w:cstheme="minorHAnsi"/>
          <w:sz w:val="22"/>
          <w:szCs w:val="22"/>
        </w:rPr>
        <w:t>C members are responsible for:</w:t>
      </w:r>
    </w:p>
    <w:p w14:paraId="1B6D3246" w14:textId="648568DD" w:rsidR="00DA7AF5" w:rsidRDefault="00DA7AF5" w:rsidP="006C0B70">
      <w:pPr>
        <w:pStyle w:val="ListParagraph"/>
        <w:numPr>
          <w:ilvl w:val="0"/>
          <w:numId w:val="19"/>
        </w:numPr>
        <w:tabs>
          <w:tab w:val="left" w:pos="4507"/>
          <w:tab w:val="left" w:pos="8903"/>
        </w:tabs>
        <w:adjustRightInd w:val="0"/>
        <w:snapToGrid w:val="0"/>
        <w:contextualSpacing w:val="0"/>
        <w:rPr>
          <w:rFonts w:cstheme="minorHAnsi"/>
          <w:sz w:val="22"/>
          <w:szCs w:val="22"/>
        </w:rPr>
      </w:pPr>
      <w:r>
        <w:rPr>
          <w:rFonts w:cstheme="minorHAnsi"/>
          <w:sz w:val="22"/>
          <w:szCs w:val="22"/>
        </w:rPr>
        <w:t xml:space="preserve">Designating the </w:t>
      </w:r>
      <w:r w:rsidR="003B38C5">
        <w:rPr>
          <w:rFonts w:cstheme="minorHAnsi"/>
          <w:sz w:val="22"/>
          <w:szCs w:val="22"/>
        </w:rPr>
        <w:t>L</w:t>
      </w:r>
      <w:r>
        <w:rPr>
          <w:rFonts w:cstheme="minorHAnsi"/>
          <w:sz w:val="22"/>
          <w:szCs w:val="22"/>
        </w:rPr>
        <w:t xml:space="preserve">ead </w:t>
      </w:r>
      <w:r w:rsidR="00A84E0F">
        <w:rPr>
          <w:rFonts w:cstheme="minorHAnsi"/>
          <w:sz w:val="22"/>
          <w:szCs w:val="22"/>
        </w:rPr>
        <w:t xml:space="preserve">Unit </w:t>
      </w:r>
      <w:r w:rsidR="003B38C5">
        <w:rPr>
          <w:rFonts w:cstheme="minorHAnsi"/>
          <w:sz w:val="22"/>
          <w:szCs w:val="22"/>
        </w:rPr>
        <w:t>F</w:t>
      </w:r>
      <w:r>
        <w:rPr>
          <w:rFonts w:cstheme="minorHAnsi"/>
          <w:sz w:val="22"/>
          <w:szCs w:val="22"/>
        </w:rPr>
        <w:t xml:space="preserve">acilities </w:t>
      </w:r>
      <w:r w:rsidR="003B38C5">
        <w:rPr>
          <w:rFonts w:cstheme="minorHAnsi"/>
          <w:sz w:val="22"/>
          <w:szCs w:val="22"/>
        </w:rPr>
        <w:t>D</w:t>
      </w:r>
      <w:r>
        <w:rPr>
          <w:rFonts w:cstheme="minorHAnsi"/>
          <w:sz w:val="22"/>
          <w:szCs w:val="22"/>
        </w:rPr>
        <w:t>irector</w:t>
      </w:r>
      <w:r w:rsidR="00A84E0F">
        <w:rPr>
          <w:rFonts w:cstheme="minorHAnsi"/>
          <w:sz w:val="22"/>
          <w:szCs w:val="22"/>
        </w:rPr>
        <w:t xml:space="preserve"> (Lead UFD)</w:t>
      </w:r>
      <w:r>
        <w:rPr>
          <w:rFonts w:cstheme="minorHAnsi"/>
          <w:sz w:val="22"/>
          <w:szCs w:val="22"/>
        </w:rPr>
        <w:t>;</w:t>
      </w:r>
    </w:p>
    <w:p w14:paraId="5DAFB29B" w14:textId="06243705" w:rsidR="008E4ED9" w:rsidRDefault="008E4ED9" w:rsidP="008E4ED9">
      <w:pPr>
        <w:pStyle w:val="ListParagraph"/>
        <w:numPr>
          <w:ilvl w:val="1"/>
          <w:numId w:val="19"/>
        </w:numPr>
        <w:tabs>
          <w:tab w:val="left" w:pos="4507"/>
          <w:tab w:val="left" w:pos="8903"/>
        </w:tabs>
        <w:adjustRightInd w:val="0"/>
        <w:snapToGrid w:val="0"/>
        <w:contextualSpacing w:val="0"/>
        <w:rPr>
          <w:rFonts w:cstheme="minorHAnsi"/>
          <w:sz w:val="22"/>
          <w:szCs w:val="22"/>
        </w:rPr>
      </w:pPr>
      <w:r>
        <w:rPr>
          <w:rFonts w:cstheme="minorHAnsi"/>
          <w:sz w:val="22"/>
          <w:szCs w:val="22"/>
        </w:rPr>
        <w:t>Note:  Lead UFDs are documented in agreement with Facilities &amp; Campus Services; FCS maintains the roles &amp; responsibilities for this position</w:t>
      </w:r>
    </w:p>
    <w:p w14:paraId="63D7DEA1" w14:textId="59F2D8C4" w:rsidR="000F75B5" w:rsidRPr="001A76CA" w:rsidRDefault="000F75B5" w:rsidP="006C0B70">
      <w:pPr>
        <w:pStyle w:val="ListParagraph"/>
        <w:numPr>
          <w:ilvl w:val="0"/>
          <w:numId w:val="19"/>
        </w:numPr>
        <w:tabs>
          <w:tab w:val="left" w:pos="4507"/>
          <w:tab w:val="left" w:pos="8903"/>
        </w:tabs>
        <w:adjustRightInd w:val="0"/>
        <w:snapToGrid w:val="0"/>
        <w:contextualSpacing w:val="0"/>
        <w:rPr>
          <w:rFonts w:cstheme="minorHAnsi"/>
          <w:sz w:val="22"/>
          <w:szCs w:val="22"/>
        </w:rPr>
      </w:pPr>
      <w:r w:rsidRPr="001A76CA">
        <w:rPr>
          <w:rFonts w:cstheme="minorHAnsi"/>
          <w:sz w:val="22"/>
          <w:szCs w:val="22"/>
        </w:rPr>
        <w:t>Developing general building protocols</w:t>
      </w:r>
      <w:r w:rsidR="00D81F7F">
        <w:rPr>
          <w:rFonts w:cstheme="minorHAnsi"/>
          <w:sz w:val="22"/>
          <w:szCs w:val="22"/>
        </w:rPr>
        <w:t xml:space="preserve"> or delegating the protocols to occupants but serving as final arbiter and supporting these protocols with organized documentation;</w:t>
      </w:r>
    </w:p>
    <w:p w14:paraId="1949E049" w14:textId="6EEA13ED" w:rsidR="00F8034C" w:rsidRDefault="0047509D" w:rsidP="00512794">
      <w:pPr>
        <w:pStyle w:val="ListParagraph"/>
        <w:numPr>
          <w:ilvl w:val="0"/>
          <w:numId w:val="19"/>
        </w:numPr>
        <w:tabs>
          <w:tab w:val="left" w:pos="4507"/>
          <w:tab w:val="left" w:pos="8903"/>
        </w:tabs>
        <w:adjustRightInd w:val="0"/>
        <w:snapToGrid w:val="0"/>
        <w:contextualSpacing w:val="0"/>
        <w:rPr>
          <w:rFonts w:cstheme="minorHAnsi"/>
          <w:sz w:val="22"/>
          <w:szCs w:val="22"/>
        </w:rPr>
      </w:pPr>
      <w:r w:rsidRPr="00F8034C">
        <w:rPr>
          <w:rFonts w:cstheme="minorHAnsi"/>
          <w:sz w:val="22"/>
          <w:szCs w:val="22"/>
        </w:rPr>
        <w:t xml:space="preserve">Representing </w:t>
      </w:r>
      <w:r w:rsidR="00C17CF9">
        <w:rPr>
          <w:rFonts w:cstheme="minorHAnsi"/>
          <w:sz w:val="22"/>
          <w:szCs w:val="22"/>
        </w:rPr>
        <w:t>unit</w:t>
      </w:r>
      <w:r w:rsidRPr="00F8034C">
        <w:rPr>
          <w:rFonts w:cstheme="minorHAnsi"/>
          <w:sz w:val="22"/>
          <w:szCs w:val="22"/>
        </w:rPr>
        <w:t xml:space="preserve"> needs</w:t>
      </w:r>
      <w:r w:rsidR="00C17CF9">
        <w:rPr>
          <w:rFonts w:cstheme="minorHAnsi"/>
          <w:sz w:val="22"/>
          <w:szCs w:val="22"/>
        </w:rPr>
        <w:t xml:space="preserve"> </w:t>
      </w:r>
      <w:r w:rsidRPr="00F8034C">
        <w:rPr>
          <w:rFonts w:cstheme="minorHAnsi"/>
          <w:sz w:val="22"/>
          <w:szCs w:val="22"/>
        </w:rPr>
        <w:t>to the B</w:t>
      </w:r>
      <w:r w:rsidR="00C17CF9">
        <w:rPr>
          <w:rFonts w:cstheme="minorHAnsi"/>
          <w:sz w:val="22"/>
          <w:szCs w:val="22"/>
        </w:rPr>
        <w:t>MC</w:t>
      </w:r>
      <w:r w:rsidRPr="00F8034C">
        <w:rPr>
          <w:rFonts w:cstheme="minorHAnsi"/>
          <w:sz w:val="22"/>
          <w:szCs w:val="22"/>
        </w:rPr>
        <w:t xml:space="preserve"> and supporting B</w:t>
      </w:r>
      <w:r w:rsidR="00C17CF9">
        <w:rPr>
          <w:rFonts w:cstheme="minorHAnsi"/>
          <w:sz w:val="22"/>
          <w:szCs w:val="22"/>
        </w:rPr>
        <w:t>M</w:t>
      </w:r>
      <w:r w:rsidRPr="00F8034C">
        <w:rPr>
          <w:rFonts w:cstheme="minorHAnsi"/>
          <w:sz w:val="22"/>
          <w:szCs w:val="22"/>
        </w:rPr>
        <w:t xml:space="preserve">C decisions and protocols to the </w:t>
      </w:r>
      <w:r w:rsidR="00C17CF9">
        <w:rPr>
          <w:rFonts w:cstheme="minorHAnsi"/>
          <w:sz w:val="22"/>
          <w:szCs w:val="22"/>
        </w:rPr>
        <w:t>unit</w:t>
      </w:r>
      <w:r w:rsidR="00F8034C">
        <w:rPr>
          <w:rFonts w:cstheme="minorHAnsi"/>
          <w:sz w:val="22"/>
          <w:szCs w:val="22"/>
        </w:rPr>
        <w:t>, and</w:t>
      </w:r>
    </w:p>
    <w:p w14:paraId="16D0991C" w14:textId="59331F70" w:rsidR="00060AA3" w:rsidRPr="00F8034C" w:rsidRDefault="0047509D" w:rsidP="00512794">
      <w:pPr>
        <w:pStyle w:val="ListParagraph"/>
        <w:numPr>
          <w:ilvl w:val="0"/>
          <w:numId w:val="19"/>
        </w:numPr>
        <w:tabs>
          <w:tab w:val="left" w:pos="4507"/>
          <w:tab w:val="left" w:pos="8903"/>
        </w:tabs>
        <w:adjustRightInd w:val="0"/>
        <w:snapToGrid w:val="0"/>
        <w:contextualSpacing w:val="0"/>
        <w:rPr>
          <w:rFonts w:cstheme="minorHAnsi"/>
          <w:sz w:val="22"/>
          <w:szCs w:val="22"/>
        </w:rPr>
      </w:pPr>
      <w:r w:rsidRPr="00F8034C">
        <w:rPr>
          <w:rFonts w:cstheme="minorHAnsi"/>
          <w:sz w:val="22"/>
          <w:szCs w:val="22"/>
        </w:rPr>
        <w:t xml:space="preserve">Committing to resolving disputes through effective listening and </w:t>
      </w:r>
      <w:r w:rsidR="00C65DA5" w:rsidRPr="00F8034C">
        <w:rPr>
          <w:rFonts w:cstheme="minorHAnsi"/>
          <w:sz w:val="22"/>
          <w:szCs w:val="22"/>
        </w:rPr>
        <w:t>collaborative approaches.</w:t>
      </w:r>
    </w:p>
    <w:p w14:paraId="5F5C398D" w14:textId="1AB5C218" w:rsidR="00060AA3" w:rsidRDefault="19211719" w:rsidP="00691969">
      <w:pPr>
        <w:tabs>
          <w:tab w:val="left" w:pos="4507"/>
          <w:tab w:val="left" w:pos="8903"/>
        </w:tabs>
        <w:adjustRightInd w:val="0"/>
        <w:snapToGrid w:val="0"/>
        <w:spacing w:before="120"/>
        <w:rPr>
          <w:sz w:val="22"/>
          <w:szCs w:val="22"/>
        </w:rPr>
      </w:pPr>
      <w:r w:rsidRPr="19211719">
        <w:rPr>
          <w:sz w:val="22"/>
          <w:szCs w:val="22"/>
        </w:rPr>
        <w:t>Conflicts that are not resolvable by the BMC may be elevated to the Shared Leadership Team (SLT) – the deans, vice provosts, and vice presidents with assigned space in the facility.  The SLT will also be responsible for reviewing and approving revisions to the Shared Use Agreement.</w:t>
      </w:r>
    </w:p>
    <w:p w14:paraId="5C0C738A" w14:textId="6E0197D4" w:rsidR="00FD28AF" w:rsidRDefault="00C17CF9" w:rsidP="00AD09B7">
      <w:pPr>
        <w:tabs>
          <w:tab w:val="left" w:pos="4507"/>
          <w:tab w:val="left" w:pos="8903"/>
        </w:tabs>
        <w:adjustRightInd w:val="0"/>
        <w:snapToGrid w:val="0"/>
        <w:spacing w:before="160"/>
        <w:rPr>
          <w:rFonts w:cstheme="minorHAnsi"/>
          <w:sz w:val="22"/>
          <w:szCs w:val="22"/>
        </w:rPr>
      </w:pPr>
      <w:r>
        <w:rPr>
          <w:rFonts w:cstheme="minorHAnsi"/>
          <w:sz w:val="22"/>
          <w:szCs w:val="22"/>
        </w:rPr>
        <w:t>Current members of the [</w:t>
      </w:r>
      <w:r w:rsidR="00423CC9" w:rsidRPr="00423CC9">
        <w:rPr>
          <w:rFonts w:cstheme="minorHAnsi"/>
          <w:i/>
          <w:iCs/>
          <w:sz w:val="22"/>
          <w:szCs w:val="22"/>
        </w:rPr>
        <w:t>Building</w:t>
      </w:r>
      <w:r w:rsidRPr="00423CC9">
        <w:rPr>
          <w:rFonts w:cstheme="minorHAnsi"/>
          <w:i/>
          <w:iCs/>
          <w:sz w:val="22"/>
          <w:szCs w:val="22"/>
        </w:rPr>
        <w:t xml:space="preserve"> Name</w:t>
      </w:r>
      <w:r>
        <w:rPr>
          <w:rFonts w:cstheme="minorHAnsi"/>
          <w:sz w:val="22"/>
          <w:szCs w:val="22"/>
        </w:rPr>
        <w:t>] BMC include: [</w:t>
      </w:r>
      <w:r w:rsidRPr="00423CC9">
        <w:rPr>
          <w:rFonts w:cstheme="minorHAnsi"/>
          <w:i/>
          <w:iCs/>
          <w:sz w:val="22"/>
          <w:szCs w:val="22"/>
        </w:rPr>
        <w:t>insert names</w:t>
      </w:r>
      <w:r>
        <w:rPr>
          <w:rFonts w:cstheme="minorHAnsi"/>
          <w:sz w:val="22"/>
          <w:szCs w:val="22"/>
        </w:rPr>
        <w:t>]</w:t>
      </w:r>
    </w:p>
    <w:p w14:paraId="70E7E0DA" w14:textId="77777777" w:rsidR="00AD09B7" w:rsidRPr="00691969" w:rsidRDefault="00AD09B7" w:rsidP="00AD09B7">
      <w:pPr>
        <w:tabs>
          <w:tab w:val="left" w:pos="4507"/>
          <w:tab w:val="left" w:pos="8903"/>
        </w:tabs>
        <w:adjustRightInd w:val="0"/>
        <w:snapToGrid w:val="0"/>
        <w:rPr>
          <w:rFonts w:cstheme="minorHAnsi"/>
          <w:sz w:val="22"/>
          <w:szCs w:val="22"/>
        </w:rPr>
      </w:pPr>
    </w:p>
    <w:p w14:paraId="36D8545C" w14:textId="337CF695" w:rsidR="002B0280" w:rsidRPr="001A76CA" w:rsidRDefault="004860D3" w:rsidP="006C0B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Basis of Understanding</w:t>
      </w:r>
    </w:p>
    <w:p w14:paraId="6551AA9A" w14:textId="77777777" w:rsidR="00F767B1" w:rsidRPr="00CE1B07" w:rsidRDefault="00F767B1" w:rsidP="006C0B70">
      <w:pPr>
        <w:autoSpaceDE w:val="0"/>
        <w:autoSpaceDN w:val="0"/>
        <w:adjustRightInd w:val="0"/>
        <w:snapToGrid w:val="0"/>
        <w:rPr>
          <w:rFonts w:cstheme="minorHAnsi"/>
          <w:sz w:val="16"/>
          <w:szCs w:val="16"/>
        </w:rPr>
      </w:pPr>
    </w:p>
    <w:p w14:paraId="0582775D" w14:textId="77777777" w:rsidR="00F767B1" w:rsidRPr="001A76CA" w:rsidRDefault="00F767B1" w:rsidP="006C0B70">
      <w:pPr>
        <w:autoSpaceDE w:val="0"/>
        <w:autoSpaceDN w:val="0"/>
        <w:adjustRightInd w:val="0"/>
        <w:snapToGrid w:val="0"/>
        <w:rPr>
          <w:rFonts w:cstheme="minorHAnsi"/>
          <w:i/>
          <w:iCs/>
          <w:sz w:val="22"/>
          <w:szCs w:val="22"/>
        </w:rPr>
      </w:pPr>
      <w:r w:rsidRPr="001A76CA">
        <w:rPr>
          <w:rFonts w:cstheme="minorHAnsi"/>
          <w:i/>
          <w:iCs/>
          <w:sz w:val="22"/>
          <w:szCs w:val="22"/>
        </w:rPr>
        <w:t>Space Allocation</w:t>
      </w:r>
    </w:p>
    <w:p w14:paraId="180E1CF5" w14:textId="537D35B6" w:rsidR="005D2C1F" w:rsidRPr="001A76CA" w:rsidRDefault="009311BE" w:rsidP="00137F22">
      <w:pPr>
        <w:autoSpaceDE w:val="0"/>
        <w:autoSpaceDN w:val="0"/>
        <w:adjustRightInd w:val="0"/>
        <w:snapToGrid w:val="0"/>
        <w:spacing w:before="80"/>
        <w:rPr>
          <w:rFonts w:cstheme="minorHAnsi"/>
          <w:kern w:val="0"/>
          <w:sz w:val="22"/>
          <w:szCs w:val="22"/>
        </w:rPr>
      </w:pPr>
      <w:r w:rsidRPr="001A76CA">
        <w:rPr>
          <w:rFonts w:cstheme="minorHAnsi"/>
          <w:sz w:val="22"/>
          <w:szCs w:val="22"/>
        </w:rPr>
        <w:t xml:space="preserve">Typically, multi-tenant campus buildings are governed according to the traditional assignment of space to a college/division (the unit) and then departments within the units.  </w:t>
      </w:r>
      <w:r w:rsidR="009B684A" w:rsidRPr="001A76CA">
        <w:rPr>
          <w:rFonts w:cstheme="minorHAnsi"/>
          <w:sz w:val="22"/>
          <w:szCs w:val="22"/>
        </w:rPr>
        <w:t xml:space="preserve">Space allocation is guided by </w:t>
      </w:r>
      <w:hyperlink r:id="rId7" w:history="1">
        <w:r w:rsidR="009B684A" w:rsidRPr="001A76CA">
          <w:rPr>
            <w:rStyle w:val="Hyperlink"/>
            <w:rFonts w:cstheme="minorHAnsi"/>
            <w:sz w:val="22"/>
            <w:szCs w:val="22"/>
          </w:rPr>
          <w:t>Cornell’s Space Management Principles</w:t>
        </w:r>
      </w:hyperlink>
      <w:r w:rsidR="009B684A" w:rsidRPr="001A76CA">
        <w:rPr>
          <w:rFonts w:cstheme="minorHAnsi"/>
          <w:sz w:val="22"/>
          <w:szCs w:val="22"/>
        </w:rPr>
        <w:t>; two principles address delegation and accountability for space allocation decisions:</w:t>
      </w:r>
    </w:p>
    <w:p w14:paraId="6EE70E75" w14:textId="5A76BBC3" w:rsidR="00507090" w:rsidRPr="001A76CA" w:rsidRDefault="00507090" w:rsidP="00137F22">
      <w:pPr>
        <w:pStyle w:val="ListParagraph"/>
        <w:numPr>
          <w:ilvl w:val="0"/>
          <w:numId w:val="14"/>
        </w:numPr>
        <w:autoSpaceDE w:val="0"/>
        <w:autoSpaceDN w:val="0"/>
        <w:adjustRightInd w:val="0"/>
        <w:snapToGrid w:val="0"/>
        <w:spacing w:before="80"/>
        <w:contextualSpacing w:val="0"/>
        <w:rPr>
          <w:rFonts w:cstheme="minorHAnsi"/>
          <w:kern w:val="0"/>
          <w:sz w:val="22"/>
          <w:szCs w:val="22"/>
        </w:rPr>
      </w:pPr>
      <w:r w:rsidRPr="001A76CA">
        <w:rPr>
          <w:rFonts w:cstheme="minorHAnsi"/>
          <w:kern w:val="0"/>
          <w:sz w:val="22"/>
          <w:szCs w:val="22"/>
        </w:rPr>
        <w:t>Ownership of space begins with the President and Provost and is delegated down through organizational hierarchies. The Provost is ultimately responsible for the allocation of space to units.</w:t>
      </w:r>
    </w:p>
    <w:p w14:paraId="0CB09A4D" w14:textId="31228CBA" w:rsidR="00507090" w:rsidRPr="001A76CA" w:rsidRDefault="00507090" w:rsidP="00137F22">
      <w:pPr>
        <w:pStyle w:val="ListParagraph"/>
        <w:numPr>
          <w:ilvl w:val="0"/>
          <w:numId w:val="14"/>
        </w:numPr>
        <w:autoSpaceDE w:val="0"/>
        <w:autoSpaceDN w:val="0"/>
        <w:adjustRightInd w:val="0"/>
        <w:snapToGrid w:val="0"/>
        <w:spacing w:before="80"/>
        <w:contextualSpacing w:val="0"/>
        <w:rPr>
          <w:rFonts w:cstheme="minorHAnsi"/>
          <w:kern w:val="0"/>
          <w:sz w:val="22"/>
          <w:szCs w:val="22"/>
        </w:rPr>
      </w:pPr>
      <w:r w:rsidRPr="001A76CA">
        <w:rPr>
          <w:rFonts w:cstheme="minorHAnsi"/>
          <w:kern w:val="0"/>
          <w:sz w:val="22"/>
          <w:szCs w:val="22"/>
        </w:rPr>
        <w:t>Accountability for space management begins locally and proceeds upward through organizational hierarchies. Space within colleges/schools/divisions is allocated based on programmatic needs and priorities as determined by the dean/division leader. Decision-making authority may be delegated to chairs/directors for space that is assigned to their units to ensure that those with the most in-depth knowledge of the activities and needs determine appropriate allocations. Deans, vice presidents, and vice provosts are responsible for efficient use and active management of space within individual college/division allocations.</w:t>
      </w:r>
    </w:p>
    <w:p w14:paraId="18EFCE11" w14:textId="77777777" w:rsidR="00507090" w:rsidRPr="001A76CA" w:rsidRDefault="00507090" w:rsidP="006C0B70">
      <w:pPr>
        <w:autoSpaceDE w:val="0"/>
        <w:autoSpaceDN w:val="0"/>
        <w:adjustRightInd w:val="0"/>
        <w:snapToGrid w:val="0"/>
        <w:rPr>
          <w:rFonts w:cstheme="minorHAnsi"/>
          <w:sz w:val="22"/>
          <w:szCs w:val="22"/>
        </w:rPr>
      </w:pPr>
    </w:p>
    <w:p w14:paraId="0327826A" w14:textId="204C7DB9" w:rsidR="00352BDB" w:rsidRPr="001A76CA" w:rsidRDefault="00352BDB"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 xml:space="preserve">Space </w:t>
      </w:r>
      <w:r w:rsidR="00E222B9" w:rsidRPr="001A76CA">
        <w:rPr>
          <w:rFonts w:cstheme="minorHAnsi"/>
          <w:i/>
          <w:iCs/>
          <w:sz w:val="22"/>
          <w:szCs w:val="22"/>
        </w:rPr>
        <w:t>Inventory</w:t>
      </w:r>
    </w:p>
    <w:p w14:paraId="130A4A64" w14:textId="17AB8ACA" w:rsidR="00E43129" w:rsidRPr="001A76CA" w:rsidRDefault="00E43129" w:rsidP="00137F22">
      <w:pPr>
        <w:pStyle w:val="Default"/>
        <w:spacing w:before="80"/>
        <w:rPr>
          <w:rFonts w:asciiTheme="minorHAnsi" w:hAnsiTheme="minorHAnsi" w:cstheme="minorHAnsi"/>
          <w:sz w:val="22"/>
          <w:szCs w:val="22"/>
        </w:rPr>
      </w:pPr>
      <w:r w:rsidRPr="001A76CA">
        <w:rPr>
          <w:rFonts w:asciiTheme="minorHAnsi" w:hAnsiTheme="minorHAnsi" w:cstheme="minorHAnsi"/>
          <w:sz w:val="22"/>
          <w:szCs w:val="22"/>
        </w:rPr>
        <w:t>The</w:t>
      </w:r>
      <w:r w:rsidR="00F767B1" w:rsidRPr="001A76CA">
        <w:rPr>
          <w:rFonts w:asciiTheme="minorHAnsi" w:hAnsiTheme="minorHAnsi" w:cstheme="minorHAnsi"/>
          <w:sz w:val="22"/>
          <w:szCs w:val="22"/>
        </w:rPr>
        <w:t xml:space="preserve"> University </w:t>
      </w:r>
      <w:r w:rsidRPr="001A76CA">
        <w:rPr>
          <w:rFonts w:asciiTheme="minorHAnsi" w:hAnsiTheme="minorHAnsi" w:cstheme="minorHAnsi"/>
          <w:sz w:val="22"/>
          <w:szCs w:val="22"/>
        </w:rPr>
        <w:t>Facilities</w:t>
      </w:r>
      <w:r w:rsidR="00F767B1" w:rsidRPr="001A76CA">
        <w:rPr>
          <w:rFonts w:asciiTheme="minorHAnsi" w:hAnsiTheme="minorHAnsi" w:cstheme="minorHAnsi"/>
          <w:sz w:val="22"/>
          <w:szCs w:val="22"/>
        </w:rPr>
        <w:t xml:space="preserve"> Inventory System</w:t>
      </w:r>
      <w:r w:rsidRPr="001A76CA">
        <w:rPr>
          <w:rFonts w:asciiTheme="minorHAnsi" w:hAnsiTheme="minorHAnsi" w:cstheme="minorHAnsi"/>
          <w:sz w:val="22"/>
          <w:szCs w:val="22"/>
        </w:rPr>
        <w:t xml:space="preserve"> (FIS) captures space assignments at the department and room level for all Cornell buildings.   The FIS data is certified on a fiscal year basis by departments through </w:t>
      </w:r>
      <w:r w:rsidR="000F3E70">
        <w:rPr>
          <w:rFonts w:asciiTheme="minorHAnsi" w:hAnsiTheme="minorHAnsi" w:cstheme="minorHAnsi"/>
          <w:sz w:val="22"/>
          <w:szCs w:val="22"/>
        </w:rPr>
        <w:t>unit-level</w:t>
      </w:r>
      <w:r w:rsidRPr="001A76CA">
        <w:rPr>
          <w:rFonts w:asciiTheme="minorHAnsi" w:hAnsiTheme="minorHAnsi" w:cstheme="minorHAnsi"/>
          <w:sz w:val="22"/>
          <w:szCs w:val="22"/>
        </w:rPr>
        <w:t xml:space="preserve"> administrators; the data is principally used to ensure that facility-related costs allocated based upon space utilization are accurately distributed.  Many </w:t>
      </w:r>
      <w:r w:rsidR="00003F8B">
        <w:rPr>
          <w:rFonts w:asciiTheme="minorHAnsi" w:hAnsiTheme="minorHAnsi" w:cstheme="minorHAnsi"/>
          <w:sz w:val="22"/>
          <w:szCs w:val="22"/>
        </w:rPr>
        <w:t>U</w:t>
      </w:r>
      <w:r w:rsidRPr="001A76CA">
        <w:rPr>
          <w:rFonts w:asciiTheme="minorHAnsi" w:hAnsiTheme="minorHAnsi" w:cstheme="minorHAnsi"/>
          <w:sz w:val="22"/>
          <w:szCs w:val="22"/>
        </w:rPr>
        <w:t>niversity processes work on the understanding that the inventory data is kept current</w:t>
      </w:r>
      <w:r w:rsidR="00F767B1" w:rsidRPr="001A76CA">
        <w:rPr>
          <w:rFonts w:asciiTheme="minorHAnsi" w:hAnsiTheme="minorHAnsi" w:cstheme="minorHAnsi"/>
          <w:sz w:val="22"/>
          <w:szCs w:val="22"/>
        </w:rPr>
        <w:t xml:space="preserve">.  </w:t>
      </w:r>
    </w:p>
    <w:p w14:paraId="6F876E6A" w14:textId="754E26D7" w:rsidR="00410C69" w:rsidRPr="001A76CA" w:rsidRDefault="00410C69" w:rsidP="00137F22">
      <w:pPr>
        <w:pStyle w:val="Default"/>
        <w:spacing w:before="160"/>
        <w:rPr>
          <w:rFonts w:asciiTheme="minorHAnsi" w:hAnsiTheme="minorHAnsi" w:cstheme="minorHAnsi"/>
          <w:sz w:val="22"/>
          <w:szCs w:val="22"/>
        </w:rPr>
      </w:pPr>
      <w:r w:rsidRPr="001A76CA">
        <w:rPr>
          <w:rFonts w:asciiTheme="minorHAnsi" w:hAnsiTheme="minorHAnsi" w:cstheme="minorHAnsi"/>
          <w:sz w:val="22"/>
          <w:szCs w:val="22"/>
        </w:rPr>
        <w:t xml:space="preserve">This document focuses on use and operations associated with those space types that are </w:t>
      </w:r>
      <w:r w:rsidR="000F3E70">
        <w:rPr>
          <w:rFonts w:asciiTheme="minorHAnsi" w:hAnsiTheme="minorHAnsi" w:cstheme="minorHAnsi"/>
          <w:sz w:val="22"/>
          <w:szCs w:val="22"/>
        </w:rPr>
        <w:t xml:space="preserve">typically </w:t>
      </w:r>
      <w:r w:rsidRPr="001A76CA">
        <w:rPr>
          <w:rFonts w:asciiTheme="minorHAnsi" w:hAnsiTheme="minorHAnsi" w:cstheme="minorHAnsi"/>
          <w:sz w:val="22"/>
          <w:szCs w:val="22"/>
        </w:rPr>
        <w:t xml:space="preserve">assigned in the FIS under one or two departments but may be used by many other departments and programs.   These are the spaces where alignment between responsible steward in the FIS and associated cost responsibilities and users and associated cost causers may feel or </w:t>
      </w:r>
      <w:r w:rsidR="002C3054" w:rsidRPr="001A76CA">
        <w:rPr>
          <w:rFonts w:asciiTheme="minorHAnsi" w:hAnsiTheme="minorHAnsi" w:cstheme="minorHAnsi"/>
          <w:sz w:val="22"/>
          <w:szCs w:val="22"/>
        </w:rPr>
        <w:t>be</w:t>
      </w:r>
      <w:r w:rsidRPr="001A76CA">
        <w:rPr>
          <w:rFonts w:asciiTheme="minorHAnsi" w:hAnsiTheme="minorHAnsi" w:cstheme="minorHAnsi"/>
          <w:sz w:val="22"/>
          <w:szCs w:val="22"/>
        </w:rPr>
        <w:t xml:space="preserve"> misaligned.  </w:t>
      </w:r>
    </w:p>
    <w:p w14:paraId="67CE9FD1" w14:textId="77777777" w:rsidR="00153278" w:rsidRPr="001A76CA" w:rsidRDefault="00153278" w:rsidP="006C0B70">
      <w:pPr>
        <w:pStyle w:val="Default"/>
        <w:rPr>
          <w:rFonts w:asciiTheme="minorHAnsi" w:hAnsiTheme="minorHAnsi" w:cstheme="minorHAnsi"/>
          <w:sz w:val="22"/>
          <w:szCs w:val="22"/>
        </w:rPr>
      </w:pPr>
    </w:p>
    <w:p w14:paraId="06C07EFA" w14:textId="77777777" w:rsidR="00153278" w:rsidRPr="001A76CA" w:rsidRDefault="00153278" w:rsidP="006C0B70">
      <w:pPr>
        <w:rPr>
          <w:rFonts w:cstheme="minorHAnsi"/>
          <w:i/>
          <w:iCs/>
          <w:sz w:val="22"/>
          <w:szCs w:val="22"/>
        </w:rPr>
      </w:pPr>
      <w:r w:rsidRPr="001A76CA">
        <w:rPr>
          <w:rFonts w:cstheme="minorHAnsi"/>
          <w:i/>
          <w:iCs/>
          <w:sz w:val="22"/>
          <w:szCs w:val="22"/>
        </w:rPr>
        <w:t>Budget Model Costs</w:t>
      </w:r>
    </w:p>
    <w:p w14:paraId="7BDB5F6E" w14:textId="0154455B" w:rsidR="00153278" w:rsidRPr="001A76CA" w:rsidRDefault="00153278" w:rsidP="00137F22">
      <w:pPr>
        <w:spacing w:before="80"/>
        <w:rPr>
          <w:rFonts w:cstheme="minorHAnsi"/>
          <w:sz w:val="22"/>
          <w:szCs w:val="22"/>
        </w:rPr>
      </w:pPr>
      <w:r w:rsidRPr="001A76CA">
        <w:rPr>
          <w:rFonts w:cstheme="minorHAnsi"/>
          <w:sz w:val="22"/>
          <w:szCs w:val="22"/>
        </w:rPr>
        <w:t xml:space="preserve">The University charges each college for a set of facilities costs based on amount of square feet occupied by that unit. In addition to this net assignable </w:t>
      </w:r>
      <w:r w:rsidR="00003F8B">
        <w:rPr>
          <w:rFonts w:cstheme="minorHAnsi"/>
          <w:sz w:val="22"/>
          <w:szCs w:val="22"/>
        </w:rPr>
        <w:t>square</w:t>
      </w:r>
      <w:r w:rsidRPr="001A76CA">
        <w:rPr>
          <w:rFonts w:cstheme="minorHAnsi"/>
          <w:sz w:val="22"/>
          <w:szCs w:val="22"/>
        </w:rPr>
        <w:t xml:space="preserve"> </w:t>
      </w:r>
      <w:r w:rsidR="00003F8B">
        <w:rPr>
          <w:rFonts w:cstheme="minorHAnsi"/>
          <w:sz w:val="22"/>
          <w:szCs w:val="22"/>
        </w:rPr>
        <w:t>footage</w:t>
      </w:r>
      <w:r w:rsidRPr="001A76CA">
        <w:rPr>
          <w:rFonts w:cstheme="minorHAnsi"/>
          <w:sz w:val="22"/>
          <w:szCs w:val="22"/>
        </w:rPr>
        <w:t xml:space="preserve">, units proportionally share in the cost of </w:t>
      </w:r>
      <w:r w:rsidRPr="001A76CA">
        <w:rPr>
          <w:rFonts w:cstheme="minorHAnsi"/>
          <w:sz w:val="22"/>
          <w:szCs w:val="22"/>
        </w:rPr>
        <w:lastRenderedPageBreak/>
        <w:t xml:space="preserve">operating and maintaining spaces held in the </w:t>
      </w:r>
      <w:hyperlink r:id="rId8" w:history="1">
        <w:r w:rsidRPr="001A76CA">
          <w:rPr>
            <w:rStyle w:val="Hyperlink"/>
            <w:rFonts w:cstheme="minorHAnsi"/>
            <w:sz w:val="22"/>
            <w:szCs w:val="22"/>
          </w:rPr>
          <w:t>Common Space Factor</w:t>
        </w:r>
      </w:hyperlink>
      <w:r w:rsidRPr="001A76CA">
        <w:rPr>
          <w:rFonts w:cstheme="minorHAnsi"/>
          <w:sz w:val="22"/>
          <w:szCs w:val="22"/>
        </w:rPr>
        <w:t xml:space="preserve">.  These charges are determined by the University Budget Office </w:t>
      </w:r>
      <w:r w:rsidR="00003F8B">
        <w:rPr>
          <w:rFonts w:cstheme="minorHAnsi"/>
          <w:sz w:val="22"/>
          <w:szCs w:val="22"/>
        </w:rPr>
        <w:t>in coordination with Facilities and Campus Services</w:t>
      </w:r>
      <w:r w:rsidRPr="001A76CA">
        <w:rPr>
          <w:rFonts w:cstheme="minorHAnsi"/>
          <w:sz w:val="22"/>
          <w:szCs w:val="22"/>
        </w:rPr>
        <w:t>.</w:t>
      </w:r>
    </w:p>
    <w:p w14:paraId="50202294" w14:textId="77777777" w:rsidR="00153278" w:rsidRPr="001A76CA" w:rsidRDefault="00153278" w:rsidP="006C0B70">
      <w:pPr>
        <w:pStyle w:val="Default"/>
        <w:rPr>
          <w:rFonts w:asciiTheme="minorHAnsi" w:hAnsiTheme="minorHAnsi" w:cstheme="minorHAnsi"/>
          <w:sz w:val="22"/>
          <w:szCs w:val="22"/>
        </w:rPr>
      </w:pPr>
    </w:p>
    <w:p w14:paraId="5DAC559C" w14:textId="77777777" w:rsidR="00153278" w:rsidRPr="001A76CA" w:rsidRDefault="00153278" w:rsidP="006C0B70">
      <w:pPr>
        <w:rPr>
          <w:rFonts w:cstheme="minorHAnsi"/>
          <w:i/>
          <w:iCs/>
          <w:sz w:val="22"/>
          <w:szCs w:val="22"/>
        </w:rPr>
      </w:pPr>
      <w:r w:rsidRPr="001A76CA">
        <w:rPr>
          <w:rFonts w:cstheme="minorHAnsi"/>
          <w:i/>
          <w:iCs/>
          <w:sz w:val="22"/>
          <w:szCs w:val="22"/>
        </w:rPr>
        <w:t>Space Review</w:t>
      </w:r>
    </w:p>
    <w:p w14:paraId="62F26776" w14:textId="41A372B1" w:rsidR="00F767B1" w:rsidRPr="001A76CA" w:rsidRDefault="00153278" w:rsidP="00137F22">
      <w:pPr>
        <w:spacing w:before="80"/>
        <w:rPr>
          <w:rFonts w:cstheme="minorHAnsi"/>
          <w:sz w:val="22"/>
          <w:szCs w:val="22"/>
        </w:rPr>
      </w:pPr>
      <w:r w:rsidRPr="001A76CA">
        <w:rPr>
          <w:rFonts w:cstheme="minorHAnsi"/>
          <w:sz w:val="22"/>
          <w:szCs w:val="22"/>
        </w:rPr>
        <w:t>Space assignments in existing buildings should be reviewed periodically by the B</w:t>
      </w:r>
      <w:r w:rsidR="00855F5F">
        <w:rPr>
          <w:rFonts w:cstheme="minorHAnsi"/>
          <w:sz w:val="22"/>
          <w:szCs w:val="22"/>
        </w:rPr>
        <w:t xml:space="preserve">MC </w:t>
      </w:r>
      <w:r w:rsidRPr="001A76CA">
        <w:rPr>
          <w:rFonts w:cstheme="minorHAnsi"/>
          <w:sz w:val="22"/>
          <w:szCs w:val="22"/>
        </w:rPr>
        <w:t xml:space="preserve">to evaluate whether </w:t>
      </w:r>
      <w:r w:rsidR="00F767B1" w:rsidRPr="001A76CA">
        <w:rPr>
          <w:rFonts w:cstheme="minorHAnsi"/>
          <w:sz w:val="22"/>
          <w:szCs w:val="22"/>
        </w:rPr>
        <w:t xml:space="preserve">space is being used appropriately (fit to function), to question inappropriate space use that causes unit hardship, to advocate for changes in space use </w:t>
      </w:r>
      <w:r w:rsidRPr="001A76CA">
        <w:rPr>
          <w:rFonts w:cstheme="minorHAnsi"/>
          <w:sz w:val="22"/>
          <w:szCs w:val="22"/>
        </w:rPr>
        <w:t>(including</w:t>
      </w:r>
      <w:r w:rsidR="00F767B1" w:rsidRPr="001A76CA">
        <w:rPr>
          <w:rFonts w:cstheme="minorHAnsi"/>
          <w:sz w:val="22"/>
          <w:szCs w:val="22"/>
        </w:rPr>
        <w:t xml:space="preserve"> scheduling</w:t>
      </w:r>
      <w:r w:rsidRPr="001A76CA">
        <w:rPr>
          <w:rFonts w:cstheme="minorHAnsi"/>
          <w:sz w:val="22"/>
          <w:szCs w:val="22"/>
        </w:rPr>
        <w:t>-related adjustments)</w:t>
      </w:r>
      <w:r w:rsidR="00F767B1" w:rsidRPr="001A76CA">
        <w:rPr>
          <w:rFonts w:cstheme="minorHAnsi"/>
          <w:sz w:val="22"/>
          <w:szCs w:val="22"/>
        </w:rPr>
        <w:t>, and to facilitate the share</w:t>
      </w:r>
      <w:r w:rsidR="00855F5F">
        <w:rPr>
          <w:rFonts w:cstheme="minorHAnsi"/>
          <w:sz w:val="22"/>
          <w:szCs w:val="22"/>
        </w:rPr>
        <w:t>d</w:t>
      </w:r>
      <w:r w:rsidR="00F767B1" w:rsidRPr="001A76CA">
        <w:rPr>
          <w:rFonts w:cstheme="minorHAnsi"/>
          <w:sz w:val="22"/>
          <w:szCs w:val="22"/>
        </w:rPr>
        <w:t xml:space="preserve"> use of spaces in support of the teaching</w:t>
      </w:r>
      <w:r w:rsidRPr="001A76CA">
        <w:rPr>
          <w:rFonts w:cstheme="minorHAnsi"/>
          <w:sz w:val="22"/>
          <w:szCs w:val="22"/>
        </w:rPr>
        <w:t xml:space="preserve">, </w:t>
      </w:r>
      <w:r w:rsidR="002C3054" w:rsidRPr="001A76CA">
        <w:rPr>
          <w:rFonts w:cstheme="minorHAnsi"/>
          <w:sz w:val="22"/>
          <w:szCs w:val="22"/>
        </w:rPr>
        <w:t>research,</w:t>
      </w:r>
      <w:r w:rsidR="00F767B1" w:rsidRPr="001A76CA">
        <w:rPr>
          <w:rFonts w:cstheme="minorHAnsi"/>
          <w:sz w:val="22"/>
          <w:szCs w:val="22"/>
        </w:rPr>
        <w:t xml:space="preserve"> </w:t>
      </w:r>
      <w:r w:rsidRPr="001A76CA">
        <w:rPr>
          <w:rFonts w:cstheme="minorHAnsi"/>
          <w:sz w:val="22"/>
          <w:szCs w:val="22"/>
        </w:rPr>
        <w:t xml:space="preserve">and engagement </w:t>
      </w:r>
      <w:r w:rsidR="00F767B1" w:rsidRPr="001A76CA">
        <w:rPr>
          <w:rFonts w:cstheme="minorHAnsi"/>
          <w:sz w:val="22"/>
          <w:szCs w:val="22"/>
        </w:rPr>
        <w:t>mission</w:t>
      </w:r>
      <w:r w:rsidRPr="001A76CA">
        <w:rPr>
          <w:rFonts w:cstheme="minorHAnsi"/>
          <w:sz w:val="22"/>
          <w:szCs w:val="22"/>
        </w:rPr>
        <w:t>s</w:t>
      </w:r>
      <w:r w:rsidR="00F767B1" w:rsidRPr="001A76CA">
        <w:rPr>
          <w:rFonts w:cstheme="minorHAnsi"/>
          <w:sz w:val="22"/>
          <w:szCs w:val="22"/>
        </w:rPr>
        <w:t xml:space="preserve"> of the university.</w:t>
      </w:r>
      <w:r w:rsidRPr="001A76CA">
        <w:rPr>
          <w:rFonts w:cstheme="minorHAnsi"/>
          <w:sz w:val="22"/>
          <w:szCs w:val="22"/>
        </w:rPr>
        <w:t xml:space="preserve">   Recommended changes in space assignments </w:t>
      </w:r>
      <w:r w:rsidR="00855F5F">
        <w:rPr>
          <w:rFonts w:cstheme="minorHAnsi"/>
          <w:sz w:val="22"/>
          <w:szCs w:val="22"/>
        </w:rPr>
        <w:t>may</w:t>
      </w:r>
      <w:r w:rsidRPr="001A76CA">
        <w:rPr>
          <w:rFonts w:cstheme="minorHAnsi"/>
          <w:sz w:val="22"/>
          <w:szCs w:val="22"/>
        </w:rPr>
        <w:t xml:space="preserve"> be brought to the Shared Leadership Team for review and direction.</w:t>
      </w:r>
      <w:r w:rsidR="00FD28AF">
        <w:rPr>
          <w:rFonts w:cstheme="minorHAnsi"/>
          <w:sz w:val="22"/>
          <w:szCs w:val="22"/>
        </w:rPr>
        <w:t xml:space="preserve">  Space assignment changes that result in net growth for a college/division on the scale of more than a few percentage points within the building should be reviewed with the University space planner who may recommend further review with the Space Use Advisory Committee.</w:t>
      </w:r>
    </w:p>
    <w:p w14:paraId="62B57364" w14:textId="77777777" w:rsidR="00352BDB" w:rsidRPr="001A76CA" w:rsidRDefault="00352BDB" w:rsidP="006C0B70">
      <w:pPr>
        <w:tabs>
          <w:tab w:val="left" w:pos="4507"/>
          <w:tab w:val="left" w:pos="8903"/>
        </w:tabs>
        <w:adjustRightInd w:val="0"/>
        <w:snapToGrid w:val="0"/>
        <w:rPr>
          <w:rFonts w:cstheme="minorHAnsi"/>
          <w:sz w:val="22"/>
          <w:szCs w:val="22"/>
        </w:rPr>
      </w:pPr>
    </w:p>
    <w:p w14:paraId="022FB6B0" w14:textId="269D107B" w:rsidR="00F767B1" w:rsidRPr="001A76CA" w:rsidRDefault="00F767B1" w:rsidP="00AD09B7">
      <w:pPr>
        <w:rPr>
          <w:rFonts w:cstheme="minorHAnsi"/>
          <w:i/>
          <w:iCs/>
          <w:kern w:val="0"/>
          <w:sz w:val="22"/>
          <w:szCs w:val="22"/>
        </w:rPr>
      </w:pPr>
      <w:r w:rsidRPr="001A76CA">
        <w:rPr>
          <w:rFonts w:cstheme="minorHAnsi"/>
          <w:i/>
          <w:iCs/>
          <w:kern w:val="0"/>
          <w:sz w:val="22"/>
          <w:szCs w:val="22"/>
        </w:rPr>
        <w:t>Shared Governance Framework</w:t>
      </w:r>
    </w:p>
    <w:p w14:paraId="65DDBCD8" w14:textId="056050B3" w:rsidR="00FD28AF" w:rsidRDefault="00F767B1" w:rsidP="00137F22">
      <w:pPr>
        <w:autoSpaceDE w:val="0"/>
        <w:autoSpaceDN w:val="0"/>
        <w:adjustRightInd w:val="0"/>
        <w:snapToGrid w:val="0"/>
        <w:spacing w:before="80"/>
        <w:rPr>
          <w:rFonts w:cstheme="minorHAnsi"/>
          <w:kern w:val="0"/>
          <w:sz w:val="22"/>
          <w:szCs w:val="22"/>
        </w:rPr>
      </w:pPr>
      <w:r w:rsidRPr="001A76CA">
        <w:rPr>
          <w:rFonts w:cstheme="minorHAnsi"/>
          <w:kern w:val="0"/>
          <w:sz w:val="22"/>
          <w:szCs w:val="22"/>
        </w:rPr>
        <w:t xml:space="preserve">Each unit lead is expected to make space allocation decisions based on need and in consideration of the impact on other occupants of a facility.   Space allocation decisions exist along a spectrum </w:t>
      </w:r>
      <w:r w:rsidR="00EF7CCE">
        <w:rPr>
          <w:rFonts w:cstheme="minorHAnsi"/>
          <w:kern w:val="0"/>
          <w:sz w:val="22"/>
          <w:szCs w:val="22"/>
        </w:rPr>
        <w:t xml:space="preserve">based on room type, </w:t>
      </w:r>
      <w:r w:rsidRPr="001A76CA">
        <w:rPr>
          <w:rFonts w:cstheme="minorHAnsi"/>
          <w:kern w:val="0"/>
          <w:sz w:val="22"/>
          <w:szCs w:val="22"/>
        </w:rPr>
        <w:t xml:space="preserve">from those that are held most closely by a unit leader – typically, the assignment of office space and some program-specific spaces, including instructional laboratories – to those that </w:t>
      </w:r>
      <w:r w:rsidR="00003F8B">
        <w:rPr>
          <w:rFonts w:cstheme="minorHAnsi"/>
          <w:kern w:val="0"/>
          <w:sz w:val="22"/>
          <w:szCs w:val="22"/>
        </w:rPr>
        <w:t xml:space="preserve">are best </w:t>
      </w:r>
      <w:r w:rsidRPr="001A76CA">
        <w:rPr>
          <w:rFonts w:cstheme="minorHAnsi"/>
          <w:kern w:val="0"/>
          <w:sz w:val="22"/>
          <w:szCs w:val="22"/>
        </w:rPr>
        <w:t xml:space="preserve">made within a shared governance framework.   </w:t>
      </w:r>
      <w:r w:rsidRPr="001A76CA">
        <w:rPr>
          <w:rFonts w:cstheme="minorHAnsi"/>
          <w:kern w:val="0"/>
          <w:sz w:val="22"/>
          <w:szCs w:val="22"/>
          <w:u w:val="single"/>
        </w:rPr>
        <w:t>This agreement focuses on the types of spaces and related operating decisions that are best governed by consensus amongst unit leadership</w:t>
      </w:r>
      <w:r w:rsidRPr="001A76CA">
        <w:rPr>
          <w:rFonts w:cstheme="minorHAnsi"/>
          <w:kern w:val="0"/>
          <w:sz w:val="22"/>
          <w:szCs w:val="22"/>
        </w:rPr>
        <w:t>.</w:t>
      </w:r>
    </w:p>
    <w:p w14:paraId="352D7FEC" w14:textId="77777777" w:rsidR="002E02BB" w:rsidRPr="001A76CA" w:rsidRDefault="002E02BB" w:rsidP="00137F22">
      <w:pPr>
        <w:autoSpaceDE w:val="0"/>
        <w:autoSpaceDN w:val="0"/>
        <w:adjustRightInd w:val="0"/>
        <w:snapToGrid w:val="0"/>
        <w:spacing w:before="80"/>
        <w:rPr>
          <w:rFonts w:cstheme="minorHAnsi"/>
          <w:kern w:val="0"/>
          <w:sz w:val="22"/>
          <w:szCs w:val="22"/>
          <w:u w:val="single"/>
        </w:rPr>
      </w:pPr>
    </w:p>
    <w:tbl>
      <w:tblPr>
        <w:tblStyle w:val="TableGrid"/>
        <w:tblW w:w="9464" w:type="dxa"/>
        <w:tblLook w:val="04A0" w:firstRow="1" w:lastRow="0" w:firstColumn="1" w:lastColumn="0" w:noHBand="0" w:noVBand="1"/>
      </w:tblPr>
      <w:tblGrid>
        <w:gridCol w:w="1975"/>
        <w:gridCol w:w="2430"/>
        <w:gridCol w:w="2430"/>
        <w:gridCol w:w="2629"/>
      </w:tblGrid>
      <w:tr w:rsidR="007C6512" w:rsidRPr="002E02BB" w14:paraId="4BC38656" w14:textId="77777777" w:rsidTr="00E350AE">
        <w:trPr>
          <w:cantSplit/>
          <w:tblHeader/>
        </w:trPr>
        <w:tc>
          <w:tcPr>
            <w:tcW w:w="1975" w:type="dxa"/>
          </w:tcPr>
          <w:p w14:paraId="29FFBAD4" w14:textId="4D3CC133"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Space Category</w:t>
            </w:r>
          </w:p>
        </w:tc>
        <w:tc>
          <w:tcPr>
            <w:tcW w:w="2430" w:type="dxa"/>
          </w:tcPr>
          <w:p w14:paraId="52AF1CEC" w14:textId="230F8F0B"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Typical Room Types</w:t>
            </w:r>
          </w:p>
        </w:tc>
        <w:tc>
          <w:tcPr>
            <w:tcW w:w="2430" w:type="dxa"/>
          </w:tcPr>
          <w:p w14:paraId="22F575A2" w14:textId="20040E14"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Inventory Method</w:t>
            </w:r>
          </w:p>
        </w:tc>
        <w:tc>
          <w:tcPr>
            <w:tcW w:w="2629" w:type="dxa"/>
          </w:tcPr>
          <w:p w14:paraId="3DAE90E8" w14:textId="5F6D0D26" w:rsidR="007C6512" w:rsidRPr="002E02BB" w:rsidRDefault="007C6512" w:rsidP="00137F22">
            <w:pPr>
              <w:autoSpaceDE w:val="0"/>
              <w:autoSpaceDN w:val="0"/>
              <w:adjustRightInd w:val="0"/>
              <w:snapToGrid w:val="0"/>
              <w:spacing w:before="160"/>
              <w:rPr>
                <w:rFonts w:cstheme="minorHAnsi"/>
                <w:b/>
                <w:bCs/>
                <w:kern w:val="0"/>
                <w:sz w:val="22"/>
                <w:szCs w:val="22"/>
              </w:rPr>
            </w:pPr>
            <w:r w:rsidRPr="002E02BB">
              <w:rPr>
                <w:rFonts w:cstheme="minorHAnsi"/>
                <w:b/>
                <w:bCs/>
                <w:kern w:val="0"/>
                <w:sz w:val="22"/>
                <w:szCs w:val="22"/>
              </w:rPr>
              <w:t>Notes</w:t>
            </w:r>
          </w:p>
        </w:tc>
      </w:tr>
      <w:tr w:rsidR="007C6512" w14:paraId="2DF1FD03" w14:textId="77777777" w:rsidTr="00E350AE">
        <w:trPr>
          <w:cantSplit/>
        </w:trPr>
        <w:tc>
          <w:tcPr>
            <w:tcW w:w="1975" w:type="dxa"/>
          </w:tcPr>
          <w:p w14:paraId="27057EB7" w14:textId="62692252"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Unit-specific spaces</w:t>
            </w:r>
          </w:p>
        </w:tc>
        <w:tc>
          <w:tcPr>
            <w:tcW w:w="2430" w:type="dxa"/>
          </w:tcPr>
          <w:p w14:paraId="18DAF46C" w14:textId="5AA7FB1E"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Offices, Instructional Laboratories, Research Laboratories, Laboratory Support Rooms</w:t>
            </w:r>
          </w:p>
        </w:tc>
        <w:tc>
          <w:tcPr>
            <w:tcW w:w="2430" w:type="dxa"/>
          </w:tcPr>
          <w:p w14:paraId="22DF80B8" w14:textId="354EEFDE"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Assigned to the occupying unit</w:t>
            </w:r>
          </w:p>
        </w:tc>
        <w:tc>
          <w:tcPr>
            <w:tcW w:w="2629" w:type="dxa"/>
          </w:tcPr>
          <w:p w14:paraId="7359D022" w14:textId="02CAD5AF"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 xml:space="preserve">Laboratory support rooms may be “common use” </w:t>
            </w:r>
          </w:p>
        </w:tc>
      </w:tr>
      <w:tr w:rsidR="00214DEB" w14:paraId="5ED84F53" w14:textId="77777777" w:rsidTr="00E350AE">
        <w:trPr>
          <w:cantSplit/>
        </w:trPr>
        <w:tc>
          <w:tcPr>
            <w:tcW w:w="1975" w:type="dxa"/>
          </w:tcPr>
          <w:p w14:paraId="02668600" w14:textId="60C769AC" w:rsidR="00214DEB" w:rsidRDefault="00214DEB" w:rsidP="007C6512">
            <w:pPr>
              <w:autoSpaceDE w:val="0"/>
              <w:autoSpaceDN w:val="0"/>
              <w:adjustRightInd w:val="0"/>
              <w:snapToGrid w:val="0"/>
              <w:rPr>
                <w:rFonts w:cstheme="minorHAnsi"/>
                <w:kern w:val="0"/>
                <w:sz w:val="22"/>
                <w:szCs w:val="22"/>
              </w:rPr>
            </w:pPr>
            <w:r>
              <w:rPr>
                <w:rFonts w:cstheme="minorHAnsi"/>
                <w:kern w:val="0"/>
                <w:sz w:val="22"/>
                <w:szCs w:val="22"/>
              </w:rPr>
              <w:t>Classrooms</w:t>
            </w:r>
          </w:p>
        </w:tc>
        <w:tc>
          <w:tcPr>
            <w:tcW w:w="2430" w:type="dxa"/>
          </w:tcPr>
          <w:p w14:paraId="322F542D" w14:textId="7419BEC5" w:rsidR="00214DEB" w:rsidRPr="4E2E2FFD" w:rsidRDefault="00214DEB" w:rsidP="4E2E2FFD">
            <w:pPr>
              <w:autoSpaceDE w:val="0"/>
              <w:autoSpaceDN w:val="0"/>
              <w:adjustRightInd w:val="0"/>
              <w:snapToGrid w:val="0"/>
              <w:rPr>
                <w:kern w:val="0"/>
                <w:sz w:val="22"/>
                <w:szCs w:val="22"/>
              </w:rPr>
            </w:pPr>
            <w:r>
              <w:rPr>
                <w:kern w:val="0"/>
                <w:sz w:val="22"/>
                <w:szCs w:val="22"/>
              </w:rPr>
              <w:t>Classroom, seminar room (general purpose)</w:t>
            </w:r>
          </w:p>
        </w:tc>
        <w:tc>
          <w:tcPr>
            <w:tcW w:w="2430" w:type="dxa"/>
          </w:tcPr>
          <w:p w14:paraId="5CBD1DF3" w14:textId="23CCA46F" w:rsidR="00214DEB" w:rsidRDefault="00214DEB" w:rsidP="007C6512">
            <w:pPr>
              <w:autoSpaceDE w:val="0"/>
              <w:autoSpaceDN w:val="0"/>
              <w:adjustRightInd w:val="0"/>
              <w:snapToGrid w:val="0"/>
              <w:rPr>
                <w:rFonts w:cstheme="minorHAnsi"/>
                <w:kern w:val="0"/>
                <w:sz w:val="22"/>
                <w:szCs w:val="22"/>
              </w:rPr>
            </w:pPr>
            <w:r>
              <w:rPr>
                <w:rFonts w:cstheme="minorHAnsi"/>
                <w:kern w:val="0"/>
                <w:sz w:val="22"/>
                <w:szCs w:val="22"/>
              </w:rPr>
              <w:t>Assigned in the inventory based on the lead college registrar for the room</w:t>
            </w:r>
          </w:p>
        </w:tc>
        <w:tc>
          <w:tcPr>
            <w:tcW w:w="2629" w:type="dxa"/>
          </w:tcPr>
          <w:p w14:paraId="5E32D312" w14:textId="782CAE24" w:rsidR="00214DEB" w:rsidRPr="00214DEB" w:rsidRDefault="00214DEB" w:rsidP="007C6512">
            <w:pPr>
              <w:autoSpaceDE w:val="0"/>
              <w:autoSpaceDN w:val="0"/>
              <w:adjustRightInd w:val="0"/>
              <w:snapToGrid w:val="0"/>
              <w:rPr>
                <w:rFonts w:cstheme="minorHAnsi"/>
                <w:i/>
                <w:iCs/>
                <w:kern w:val="0"/>
                <w:sz w:val="22"/>
                <w:szCs w:val="22"/>
              </w:rPr>
            </w:pPr>
            <w:r w:rsidRPr="00214DEB">
              <w:rPr>
                <w:rFonts w:cstheme="minorHAnsi"/>
                <w:i/>
                <w:iCs/>
                <w:color w:val="C00000"/>
                <w:kern w:val="0"/>
                <w:sz w:val="22"/>
                <w:szCs w:val="22"/>
              </w:rPr>
              <w:t>Under review by the Provost</w:t>
            </w:r>
            <w:r>
              <w:rPr>
                <w:rFonts w:cstheme="minorHAnsi"/>
                <w:i/>
                <w:iCs/>
                <w:color w:val="C00000"/>
                <w:kern w:val="0"/>
                <w:sz w:val="22"/>
                <w:szCs w:val="22"/>
              </w:rPr>
              <w:t>’ Classroom Executive Committee</w:t>
            </w:r>
          </w:p>
        </w:tc>
      </w:tr>
      <w:tr w:rsidR="007C6512" w14:paraId="0BF605AB" w14:textId="77777777" w:rsidTr="00E350AE">
        <w:trPr>
          <w:cantSplit/>
        </w:trPr>
        <w:tc>
          <w:tcPr>
            <w:tcW w:w="1975" w:type="dxa"/>
          </w:tcPr>
          <w:p w14:paraId="378415A3" w14:textId="51D3DCE6"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Common Use Spaces</w:t>
            </w:r>
          </w:p>
        </w:tc>
        <w:tc>
          <w:tcPr>
            <w:tcW w:w="2430" w:type="dxa"/>
          </w:tcPr>
          <w:p w14:paraId="613ED4DF" w14:textId="16BC5195" w:rsidR="007C6512" w:rsidRDefault="007C6512" w:rsidP="4E2E2FFD">
            <w:pPr>
              <w:autoSpaceDE w:val="0"/>
              <w:autoSpaceDN w:val="0"/>
              <w:adjustRightInd w:val="0"/>
              <w:snapToGrid w:val="0"/>
              <w:rPr>
                <w:kern w:val="0"/>
                <w:sz w:val="22"/>
                <w:szCs w:val="22"/>
              </w:rPr>
            </w:pPr>
            <w:r w:rsidRPr="4E2E2FFD">
              <w:rPr>
                <w:kern w:val="0"/>
                <w:sz w:val="22"/>
                <w:szCs w:val="22"/>
              </w:rPr>
              <w:t>Conference Rooms, Kitchenettes, some lounges</w:t>
            </w:r>
          </w:p>
        </w:tc>
        <w:tc>
          <w:tcPr>
            <w:tcW w:w="2430" w:type="dxa"/>
          </w:tcPr>
          <w:p w14:paraId="0A7062DA" w14:textId="77777777" w:rsidR="007C6512" w:rsidRDefault="00003F8B" w:rsidP="007C6512">
            <w:pPr>
              <w:autoSpaceDE w:val="0"/>
              <w:autoSpaceDN w:val="0"/>
              <w:adjustRightInd w:val="0"/>
              <w:snapToGrid w:val="0"/>
              <w:rPr>
                <w:rFonts w:cstheme="minorHAnsi"/>
                <w:kern w:val="0"/>
                <w:sz w:val="22"/>
                <w:szCs w:val="22"/>
              </w:rPr>
            </w:pPr>
            <w:r>
              <w:rPr>
                <w:rFonts w:cstheme="minorHAnsi"/>
                <w:kern w:val="0"/>
                <w:sz w:val="22"/>
                <w:szCs w:val="22"/>
              </w:rPr>
              <w:t xml:space="preserve">Conference rooms:  </w:t>
            </w:r>
            <w:r w:rsidR="007C6512">
              <w:rPr>
                <w:rFonts w:cstheme="minorHAnsi"/>
                <w:kern w:val="0"/>
                <w:sz w:val="22"/>
                <w:szCs w:val="22"/>
              </w:rPr>
              <w:t>Suggest pro-ration amongst building occupants to indicate shared responsibility</w:t>
            </w:r>
          </w:p>
          <w:p w14:paraId="427953DE" w14:textId="0D4C0DB6" w:rsidR="00003F8B" w:rsidRDefault="00003F8B" w:rsidP="007C6512">
            <w:pPr>
              <w:autoSpaceDE w:val="0"/>
              <w:autoSpaceDN w:val="0"/>
              <w:adjustRightInd w:val="0"/>
              <w:snapToGrid w:val="0"/>
              <w:rPr>
                <w:rFonts w:cstheme="minorHAnsi"/>
                <w:kern w:val="0"/>
                <w:sz w:val="22"/>
                <w:szCs w:val="22"/>
              </w:rPr>
            </w:pPr>
            <w:r>
              <w:rPr>
                <w:rFonts w:cstheme="minorHAnsi"/>
                <w:kern w:val="0"/>
                <w:sz w:val="22"/>
                <w:szCs w:val="22"/>
              </w:rPr>
              <w:t>Kitchenettes:  Suggest one clear owner to take responsibility for care and cleanliness; multiple kitchenettes can be distributed amongst occupying orgs</w:t>
            </w:r>
          </w:p>
        </w:tc>
        <w:tc>
          <w:tcPr>
            <w:tcW w:w="2629" w:type="dxa"/>
          </w:tcPr>
          <w:p w14:paraId="439331DB" w14:textId="7271F877"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Most typically used by building occupants, not generally used by students or faculty/staff from outside the building</w:t>
            </w:r>
          </w:p>
        </w:tc>
      </w:tr>
      <w:tr w:rsidR="007C6512" w14:paraId="4477BC0C" w14:textId="77777777" w:rsidTr="00E350AE">
        <w:trPr>
          <w:cantSplit/>
        </w:trPr>
        <w:tc>
          <w:tcPr>
            <w:tcW w:w="1975" w:type="dxa"/>
          </w:tcPr>
          <w:p w14:paraId="784429EA" w14:textId="21389F7D"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lastRenderedPageBreak/>
              <w:t>Public Spaces</w:t>
            </w:r>
          </w:p>
        </w:tc>
        <w:tc>
          <w:tcPr>
            <w:tcW w:w="2430" w:type="dxa"/>
          </w:tcPr>
          <w:p w14:paraId="6A08F592" w14:textId="3D39B10A" w:rsidR="007C6512" w:rsidRDefault="007C6512" w:rsidP="57960FA1">
            <w:pPr>
              <w:autoSpaceDE w:val="0"/>
              <w:autoSpaceDN w:val="0"/>
              <w:adjustRightInd w:val="0"/>
              <w:snapToGrid w:val="0"/>
              <w:rPr>
                <w:kern w:val="0"/>
                <w:sz w:val="22"/>
                <w:szCs w:val="22"/>
              </w:rPr>
            </w:pPr>
            <w:r w:rsidRPr="57960FA1">
              <w:rPr>
                <w:kern w:val="0"/>
                <w:sz w:val="22"/>
                <w:szCs w:val="22"/>
              </w:rPr>
              <w:t>Some lounges, atria</w:t>
            </w:r>
          </w:p>
        </w:tc>
        <w:tc>
          <w:tcPr>
            <w:tcW w:w="2430" w:type="dxa"/>
          </w:tcPr>
          <w:p w14:paraId="74C1D859" w14:textId="13DF5377"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Suggest pro-ration amongst building occupants to indicate shared responsibility</w:t>
            </w:r>
          </w:p>
        </w:tc>
        <w:tc>
          <w:tcPr>
            <w:tcW w:w="2629" w:type="dxa"/>
          </w:tcPr>
          <w:p w14:paraId="61D935CE" w14:textId="77777777" w:rsidR="007C6512" w:rsidRDefault="00003F8B" w:rsidP="007C6512">
            <w:pPr>
              <w:autoSpaceDE w:val="0"/>
              <w:autoSpaceDN w:val="0"/>
              <w:adjustRightInd w:val="0"/>
              <w:snapToGrid w:val="0"/>
              <w:rPr>
                <w:rFonts w:cstheme="minorHAnsi"/>
                <w:kern w:val="0"/>
                <w:sz w:val="22"/>
                <w:szCs w:val="22"/>
              </w:rPr>
            </w:pPr>
            <w:r>
              <w:rPr>
                <w:rFonts w:cstheme="minorHAnsi"/>
                <w:kern w:val="0"/>
                <w:sz w:val="22"/>
                <w:szCs w:val="22"/>
              </w:rPr>
              <w:t>This category may include “non-assignable” spaces held under Building Care, such as entrances, lobbies, and public circulation, that may be important to allocate and consider in conversations related to signage, branding</w:t>
            </w:r>
            <w:r w:rsidR="00E350AE">
              <w:rPr>
                <w:rFonts w:cstheme="minorHAnsi"/>
                <w:kern w:val="0"/>
                <w:sz w:val="22"/>
                <w:szCs w:val="22"/>
              </w:rPr>
              <w:t>, and naming</w:t>
            </w:r>
          </w:p>
          <w:p w14:paraId="4B95C744" w14:textId="6B827F10" w:rsidR="00E350AE" w:rsidRDefault="00E350AE" w:rsidP="007C6512">
            <w:pPr>
              <w:autoSpaceDE w:val="0"/>
              <w:autoSpaceDN w:val="0"/>
              <w:adjustRightInd w:val="0"/>
              <w:snapToGrid w:val="0"/>
              <w:rPr>
                <w:rFonts w:cstheme="minorHAnsi"/>
                <w:kern w:val="0"/>
                <w:sz w:val="22"/>
                <w:szCs w:val="22"/>
              </w:rPr>
            </w:pPr>
            <w:r>
              <w:rPr>
                <w:rFonts w:cstheme="minorHAnsi"/>
                <w:kern w:val="0"/>
                <w:sz w:val="22"/>
                <w:szCs w:val="22"/>
              </w:rPr>
              <w:t>These spaces also are often a public opportunity to create a sense of place and belonging</w:t>
            </w:r>
          </w:p>
        </w:tc>
      </w:tr>
      <w:tr w:rsidR="007C6512" w14:paraId="65A9916F" w14:textId="77777777" w:rsidTr="00E350AE">
        <w:trPr>
          <w:cantSplit/>
        </w:trPr>
        <w:tc>
          <w:tcPr>
            <w:tcW w:w="1975" w:type="dxa"/>
          </w:tcPr>
          <w:p w14:paraId="2A86CAC7" w14:textId="743BFFEE" w:rsidR="007C6512" w:rsidRDefault="00B40446" w:rsidP="007C6512">
            <w:pPr>
              <w:autoSpaceDE w:val="0"/>
              <w:autoSpaceDN w:val="0"/>
              <w:adjustRightInd w:val="0"/>
              <w:snapToGrid w:val="0"/>
              <w:rPr>
                <w:rFonts w:cstheme="minorHAnsi"/>
                <w:kern w:val="0"/>
                <w:sz w:val="22"/>
                <w:szCs w:val="22"/>
              </w:rPr>
            </w:pPr>
            <w:r>
              <w:rPr>
                <w:rFonts w:cstheme="minorHAnsi"/>
                <w:kern w:val="0"/>
                <w:sz w:val="22"/>
                <w:szCs w:val="22"/>
              </w:rPr>
              <w:t xml:space="preserve">Non-Instructional </w:t>
            </w:r>
            <w:r w:rsidR="007C6512">
              <w:rPr>
                <w:rFonts w:cstheme="minorHAnsi"/>
                <w:kern w:val="0"/>
                <w:sz w:val="22"/>
                <w:szCs w:val="22"/>
              </w:rPr>
              <w:t>Event</w:t>
            </w:r>
            <w:r w:rsidR="00E350AE">
              <w:rPr>
                <w:rStyle w:val="FootnoteReference"/>
                <w:rFonts w:cstheme="minorHAnsi"/>
                <w:kern w:val="0"/>
                <w:sz w:val="22"/>
                <w:szCs w:val="22"/>
              </w:rPr>
              <w:footnoteReference w:id="1"/>
            </w:r>
            <w:r w:rsidR="007C6512">
              <w:rPr>
                <w:rFonts w:cstheme="minorHAnsi"/>
                <w:kern w:val="0"/>
                <w:sz w:val="22"/>
                <w:szCs w:val="22"/>
              </w:rPr>
              <w:t xml:space="preserve"> Spaces</w:t>
            </w:r>
          </w:p>
        </w:tc>
        <w:tc>
          <w:tcPr>
            <w:tcW w:w="2430" w:type="dxa"/>
          </w:tcPr>
          <w:p w14:paraId="101DF6FB" w14:textId="35711DB8" w:rsidR="007C6512" w:rsidRDefault="007C6512" w:rsidP="25584938">
            <w:pPr>
              <w:autoSpaceDE w:val="0"/>
              <w:autoSpaceDN w:val="0"/>
              <w:adjustRightInd w:val="0"/>
              <w:snapToGrid w:val="0"/>
              <w:rPr>
                <w:kern w:val="0"/>
                <w:sz w:val="22"/>
                <w:szCs w:val="22"/>
              </w:rPr>
            </w:pPr>
            <w:r w:rsidRPr="25584938">
              <w:rPr>
                <w:kern w:val="0"/>
                <w:sz w:val="22"/>
                <w:szCs w:val="22"/>
              </w:rPr>
              <w:t>Spaces that support activities that have a specific purpose, start and end times</w:t>
            </w:r>
          </w:p>
        </w:tc>
        <w:tc>
          <w:tcPr>
            <w:tcW w:w="2430" w:type="dxa"/>
          </w:tcPr>
          <w:p w14:paraId="6898C7FC" w14:textId="4C5D2668" w:rsidR="007C6512" w:rsidRDefault="007C6512" w:rsidP="007C6512">
            <w:pPr>
              <w:autoSpaceDE w:val="0"/>
              <w:autoSpaceDN w:val="0"/>
              <w:adjustRightInd w:val="0"/>
              <w:snapToGrid w:val="0"/>
              <w:rPr>
                <w:rFonts w:cstheme="minorHAnsi"/>
                <w:kern w:val="0"/>
                <w:sz w:val="22"/>
                <w:szCs w:val="22"/>
              </w:rPr>
            </w:pPr>
            <w:r>
              <w:rPr>
                <w:rFonts w:cstheme="minorHAnsi"/>
                <w:kern w:val="0"/>
                <w:sz w:val="22"/>
                <w:szCs w:val="22"/>
              </w:rPr>
              <w:t>Special spaces with specific donor or unit investments are typically assigned to that unit; other spaces, particularly atria and more public gathering areas</w:t>
            </w:r>
            <w:r w:rsidR="00E350AE">
              <w:rPr>
                <w:rFonts w:cstheme="minorHAnsi"/>
                <w:kern w:val="0"/>
                <w:sz w:val="22"/>
                <w:szCs w:val="22"/>
              </w:rPr>
              <w:t xml:space="preserve"> (see above)</w:t>
            </w:r>
            <w:r>
              <w:rPr>
                <w:rFonts w:cstheme="minorHAnsi"/>
                <w:kern w:val="0"/>
                <w:sz w:val="22"/>
                <w:szCs w:val="22"/>
              </w:rPr>
              <w:t>, can be pro-rated amongst building units</w:t>
            </w:r>
          </w:p>
        </w:tc>
        <w:tc>
          <w:tcPr>
            <w:tcW w:w="2629" w:type="dxa"/>
          </w:tcPr>
          <w:p w14:paraId="483CEF5B" w14:textId="77777777" w:rsidR="007C6512" w:rsidRDefault="007C6512" w:rsidP="007C6512">
            <w:pPr>
              <w:autoSpaceDE w:val="0"/>
              <w:autoSpaceDN w:val="0"/>
              <w:adjustRightInd w:val="0"/>
              <w:snapToGrid w:val="0"/>
              <w:rPr>
                <w:rFonts w:cstheme="minorHAnsi"/>
                <w:kern w:val="0"/>
                <w:sz w:val="22"/>
                <w:szCs w:val="22"/>
              </w:rPr>
            </w:pPr>
          </w:p>
        </w:tc>
      </w:tr>
    </w:tbl>
    <w:p w14:paraId="14F538FA" w14:textId="607BDA44" w:rsidR="00F767B1" w:rsidRPr="001A76CA" w:rsidRDefault="00F767B1" w:rsidP="00137F22">
      <w:pPr>
        <w:autoSpaceDE w:val="0"/>
        <w:autoSpaceDN w:val="0"/>
        <w:adjustRightInd w:val="0"/>
        <w:snapToGrid w:val="0"/>
        <w:spacing w:before="160"/>
        <w:rPr>
          <w:rFonts w:cstheme="minorHAnsi"/>
          <w:kern w:val="0"/>
          <w:sz w:val="22"/>
          <w:szCs w:val="22"/>
        </w:rPr>
      </w:pPr>
      <w:r w:rsidRPr="001A76CA">
        <w:rPr>
          <w:rFonts w:cstheme="minorHAnsi"/>
          <w:kern w:val="0"/>
          <w:sz w:val="22"/>
          <w:szCs w:val="22"/>
        </w:rPr>
        <w:t>In certain circumstance</w:t>
      </w:r>
      <w:r w:rsidR="002B4D31">
        <w:rPr>
          <w:rFonts w:cstheme="minorHAnsi"/>
          <w:kern w:val="0"/>
          <w:sz w:val="22"/>
          <w:szCs w:val="22"/>
        </w:rPr>
        <w:t>s</w:t>
      </w:r>
      <w:r w:rsidRPr="001A76CA">
        <w:rPr>
          <w:rFonts w:cstheme="minorHAnsi"/>
          <w:kern w:val="0"/>
          <w:sz w:val="22"/>
          <w:szCs w:val="22"/>
        </w:rPr>
        <w:t>, existing assignments of space are disrupted by a decision by the Provost and other senior executives to introduce one or more additional units into a facility.   Such a circumstance should drive a revision to an existing Shared Use Agreement or should cause the creation of a Shared Use Agreement where none already exists.</w:t>
      </w:r>
    </w:p>
    <w:p w14:paraId="55463A19" w14:textId="77777777" w:rsidR="00F767B1" w:rsidRPr="001A76CA" w:rsidRDefault="00F767B1" w:rsidP="006C0B70">
      <w:pPr>
        <w:tabs>
          <w:tab w:val="left" w:pos="4507"/>
          <w:tab w:val="left" w:pos="8903"/>
        </w:tabs>
        <w:adjustRightInd w:val="0"/>
        <w:snapToGrid w:val="0"/>
        <w:rPr>
          <w:rFonts w:cstheme="minorHAnsi"/>
          <w:sz w:val="22"/>
          <w:szCs w:val="22"/>
        </w:rPr>
      </w:pPr>
    </w:p>
    <w:p w14:paraId="4C56671E" w14:textId="0AFE45D0" w:rsidR="002A3044" w:rsidRPr="001A76CA" w:rsidRDefault="002B0280" w:rsidP="006C0B70">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 xml:space="preserve">Treatment of </w:t>
      </w:r>
      <w:r w:rsidR="00410C69" w:rsidRPr="001A76CA">
        <w:rPr>
          <w:rFonts w:cstheme="minorHAnsi"/>
          <w:sz w:val="22"/>
          <w:szCs w:val="22"/>
          <w:u w:val="single"/>
        </w:rPr>
        <w:t>Certain Commonly Shared Space Types</w:t>
      </w:r>
    </w:p>
    <w:p w14:paraId="2E40E260" w14:textId="77777777" w:rsidR="002A3044" w:rsidRPr="00CE1B07" w:rsidRDefault="002A3044" w:rsidP="006C0B70">
      <w:pPr>
        <w:rPr>
          <w:rFonts w:cstheme="minorHAnsi"/>
          <w:sz w:val="16"/>
          <w:szCs w:val="16"/>
        </w:rPr>
      </w:pPr>
    </w:p>
    <w:p w14:paraId="02207D79" w14:textId="6FC0603F" w:rsidR="008B659D" w:rsidRPr="008B659D" w:rsidRDefault="008B659D" w:rsidP="006C0B70">
      <w:pPr>
        <w:rPr>
          <w:rFonts w:cstheme="minorHAnsi"/>
          <w:sz w:val="22"/>
          <w:szCs w:val="22"/>
        </w:rPr>
      </w:pPr>
      <w:r>
        <w:rPr>
          <w:rFonts w:cstheme="minorHAnsi"/>
          <w:sz w:val="22"/>
          <w:szCs w:val="22"/>
        </w:rPr>
        <w:t>Given that space assignment in the FIS determines budget model costs and implies stewardship responsibilities, best practice is to pro-rate assignment of shared space types in the FIS based on some easy to calculate metric appropriate to the space type, e.g., unit percent of faculty and staff population for conference rooms and kitchenettes that are shared by all building occupants.</w:t>
      </w:r>
    </w:p>
    <w:p w14:paraId="73389FD1" w14:textId="77777777" w:rsidR="008B659D" w:rsidRDefault="008B659D" w:rsidP="006C0B70">
      <w:pPr>
        <w:rPr>
          <w:rFonts w:cstheme="minorHAnsi"/>
          <w:i/>
          <w:iCs/>
          <w:sz w:val="22"/>
          <w:szCs w:val="22"/>
        </w:rPr>
      </w:pPr>
    </w:p>
    <w:p w14:paraId="0A39591E" w14:textId="337A3B10" w:rsidR="002A3044" w:rsidRPr="001A76CA" w:rsidRDefault="002A3044" w:rsidP="006C0B70">
      <w:pPr>
        <w:rPr>
          <w:rFonts w:cstheme="minorHAnsi"/>
          <w:i/>
          <w:iCs/>
          <w:sz w:val="22"/>
          <w:szCs w:val="22"/>
        </w:rPr>
      </w:pPr>
      <w:r w:rsidRPr="001A76CA">
        <w:rPr>
          <w:rFonts w:cstheme="minorHAnsi"/>
          <w:i/>
          <w:iCs/>
          <w:sz w:val="22"/>
          <w:szCs w:val="22"/>
        </w:rPr>
        <w:t>Conference Rooms</w:t>
      </w:r>
    </w:p>
    <w:p w14:paraId="4C1BF7F3" w14:textId="2E44D87C" w:rsidR="006C0B70" w:rsidRPr="001A76CA" w:rsidRDefault="002A3044" w:rsidP="00137F22">
      <w:pPr>
        <w:spacing w:before="80"/>
        <w:rPr>
          <w:rFonts w:cstheme="minorHAnsi"/>
          <w:sz w:val="22"/>
          <w:szCs w:val="22"/>
        </w:rPr>
      </w:pPr>
      <w:r w:rsidRPr="001A76CA">
        <w:rPr>
          <w:rFonts w:cstheme="minorHAnsi"/>
          <w:sz w:val="22"/>
          <w:szCs w:val="22"/>
        </w:rPr>
        <w:t>Ideally, conference rooms</w:t>
      </w:r>
      <w:r w:rsidR="006C0B70" w:rsidRPr="001A76CA">
        <w:rPr>
          <w:rFonts w:cstheme="minorHAnsi"/>
          <w:sz w:val="22"/>
          <w:szCs w:val="22"/>
        </w:rPr>
        <w:t>, especially those that can be accessed from public circulation during regular business hours,</w:t>
      </w:r>
      <w:r w:rsidRPr="001A76CA">
        <w:rPr>
          <w:rFonts w:cstheme="minorHAnsi"/>
          <w:sz w:val="22"/>
          <w:szCs w:val="22"/>
        </w:rPr>
        <w:t xml:space="preserve"> will be available to all building occupants and other campus users</w:t>
      </w:r>
      <w:r w:rsidR="006C0B70" w:rsidRPr="001A76CA">
        <w:rPr>
          <w:rFonts w:cstheme="minorHAnsi"/>
          <w:sz w:val="22"/>
          <w:szCs w:val="22"/>
        </w:rPr>
        <w:t xml:space="preserve">.  Outlook is the university tool for scheduling conference rooms.  The Outlook instance for the conference room should be </w:t>
      </w:r>
      <w:r w:rsidR="00642AD3">
        <w:rPr>
          <w:rFonts w:cstheme="minorHAnsi"/>
          <w:sz w:val="22"/>
          <w:szCs w:val="22"/>
        </w:rPr>
        <w:t xml:space="preserve">viewable by campus stakeholders and </w:t>
      </w:r>
      <w:r w:rsidR="002C3054">
        <w:rPr>
          <w:rFonts w:cstheme="minorHAnsi"/>
          <w:sz w:val="22"/>
          <w:szCs w:val="22"/>
        </w:rPr>
        <w:t>s</w:t>
      </w:r>
      <w:r w:rsidR="002C3054" w:rsidRPr="001A76CA">
        <w:rPr>
          <w:rFonts w:cstheme="minorHAnsi"/>
          <w:sz w:val="22"/>
          <w:szCs w:val="22"/>
        </w:rPr>
        <w:t>et</w:t>
      </w:r>
      <w:r w:rsidR="006C0B70" w:rsidRPr="001A76CA">
        <w:rPr>
          <w:rFonts w:cstheme="minorHAnsi"/>
          <w:sz w:val="22"/>
          <w:szCs w:val="22"/>
        </w:rPr>
        <w:t xml:space="preserve"> to approve new requests automatically </w:t>
      </w:r>
      <w:r w:rsidR="002C3054" w:rsidRPr="001A76CA">
        <w:rPr>
          <w:rFonts w:cstheme="minorHAnsi"/>
          <w:sz w:val="22"/>
          <w:szCs w:val="22"/>
        </w:rPr>
        <w:t>if</w:t>
      </w:r>
      <w:r w:rsidR="006C0B70" w:rsidRPr="001A76CA">
        <w:rPr>
          <w:rFonts w:cstheme="minorHAnsi"/>
          <w:sz w:val="22"/>
          <w:szCs w:val="22"/>
        </w:rPr>
        <w:t xml:space="preserve"> no conflict exists.</w:t>
      </w:r>
    </w:p>
    <w:p w14:paraId="551C7803" w14:textId="24D8008D" w:rsidR="002A3044" w:rsidRPr="001A76CA" w:rsidRDefault="002A3044" w:rsidP="00137F22">
      <w:pPr>
        <w:spacing w:before="160"/>
        <w:rPr>
          <w:rFonts w:cstheme="minorHAnsi"/>
          <w:sz w:val="22"/>
          <w:szCs w:val="22"/>
        </w:rPr>
      </w:pPr>
      <w:r w:rsidRPr="001A76CA">
        <w:rPr>
          <w:rFonts w:cstheme="minorHAnsi"/>
          <w:sz w:val="22"/>
          <w:szCs w:val="22"/>
        </w:rPr>
        <w:lastRenderedPageBreak/>
        <w:t>If there is good cause</w:t>
      </w:r>
      <w:r w:rsidR="006C0B70" w:rsidRPr="001A76CA">
        <w:rPr>
          <w:rFonts w:cstheme="minorHAnsi"/>
          <w:sz w:val="22"/>
          <w:szCs w:val="22"/>
        </w:rPr>
        <w:t>, such as access through an office space,</w:t>
      </w:r>
      <w:r w:rsidRPr="001A76CA">
        <w:rPr>
          <w:rFonts w:cstheme="minorHAnsi"/>
          <w:sz w:val="22"/>
          <w:szCs w:val="22"/>
        </w:rPr>
        <w:t xml:space="preserve"> for a conference room to be assigned to a unit for their primary use, expectations regarding use </w:t>
      </w:r>
      <w:r w:rsidR="006C0B70" w:rsidRPr="001A76CA">
        <w:rPr>
          <w:rFonts w:cstheme="minorHAnsi"/>
          <w:sz w:val="22"/>
          <w:szCs w:val="22"/>
        </w:rPr>
        <w:t>by</w:t>
      </w:r>
      <w:r w:rsidRPr="001A76CA">
        <w:rPr>
          <w:rFonts w:cstheme="minorHAnsi"/>
          <w:sz w:val="22"/>
          <w:szCs w:val="22"/>
        </w:rPr>
        <w:t xml:space="preserve"> others should be clearly defined and communicated to all building occupants.</w:t>
      </w:r>
      <w:r w:rsidR="006C0B70" w:rsidRPr="001A76CA">
        <w:rPr>
          <w:rFonts w:cstheme="minorHAnsi"/>
          <w:sz w:val="22"/>
          <w:szCs w:val="22"/>
        </w:rPr>
        <w:t xml:space="preserve">  For example, use by others may be allowed </w:t>
      </w:r>
      <w:r w:rsidR="00611D17" w:rsidRPr="001A76CA">
        <w:rPr>
          <w:rFonts w:cstheme="minorHAnsi"/>
          <w:sz w:val="22"/>
          <w:szCs w:val="22"/>
        </w:rPr>
        <w:t>through facilitated rather than automatic approval in Outlook.</w:t>
      </w:r>
      <w:r w:rsidR="000605BF">
        <w:rPr>
          <w:rFonts w:cstheme="minorHAnsi"/>
          <w:sz w:val="22"/>
          <w:szCs w:val="22"/>
        </w:rPr>
        <w:t xml:space="preserve">  In such cases, the unit assigned to the room in the FIS designates the scheduler contact.</w:t>
      </w:r>
    </w:p>
    <w:p w14:paraId="4034FA0F" w14:textId="56C3AA70" w:rsidR="002A3044" w:rsidRPr="001A76CA" w:rsidRDefault="002A3044" w:rsidP="00137F22">
      <w:pPr>
        <w:spacing w:before="160"/>
        <w:rPr>
          <w:rFonts w:cstheme="minorHAnsi"/>
          <w:sz w:val="22"/>
          <w:szCs w:val="22"/>
        </w:rPr>
      </w:pPr>
      <w:r w:rsidRPr="001A76CA">
        <w:rPr>
          <w:rFonts w:cstheme="minorHAnsi"/>
          <w:sz w:val="22"/>
          <w:szCs w:val="22"/>
        </w:rPr>
        <w:t>Regardless of designation (unit-based or shared amongst building occupants), clear procedures will be identified for others to request use of a conference room.</w:t>
      </w:r>
      <w:r w:rsidR="00A501A3">
        <w:rPr>
          <w:rFonts w:cstheme="minorHAnsi"/>
          <w:sz w:val="22"/>
          <w:szCs w:val="22"/>
        </w:rPr>
        <w:t xml:space="preserve">  These procedures should be consistent across similar spaces.</w:t>
      </w:r>
    </w:p>
    <w:p w14:paraId="15AD23BE" w14:textId="77777777" w:rsidR="002A3044" w:rsidRPr="001A76CA" w:rsidRDefault="002A3044" w:rsidP="006C0B70">
      <w:pPr>
        <w:tabs>
          <w:tab w:val="left" w:pos="4507"/>
          <w:tab w:val="left" w:pos="8903"/>
        </w:tabs>
        <w:adjustRightInd w:val="0"/>
        <w:snapToGrid w:val="0"/>
        <w:rPr>
          <w:rFonts w:cstheme="minorHAnsi"/>
          <w:sz w:val="22"/>
          <w:szCs w:val="22"/>
        </w:rPr>
      </w:pPr>
    </w:p>
    <w:p w14:paraId="36C8079D" w14:textId="4403385B"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Kitchenette</w:t>
      </w:r>
      <w:r w:rsidR="00F83937" w:rsidRPr="001A76CA">
        <w:rPr>
          <w:rFonts w:cstheme="minorHAnsi"/>
          <w:i/>
          <w:iCs/>
          <w:sz w:val="22"/>
          <w:szCs w:val="22"/>
        </w:rPr>
        <w:t>s</w:t>
      </w:r>
    </w:p>
    <w:p w14:paraId="6449D086" w14:textId="3CF2EF36" w:rsidR="002A3044" w:rsidRPr="001A76CA" w:rsidRDefault="002A3044" w:rsidP="00137F22">
      <w:pPr>
        <w:spacing w:before="80"/>
        <w:rPr>
          <w:rFonts w:cstheme="minorHAnsi"/>
          <w:sz w:val="22"/>
          <w:szCs w:val="22"/>
        </w:rPr>
      </w:pPr>
      <w:r w:rsidRPr="001A76CA">
        <w:rPr>
          <w:rFonts w:cstheme="minorHAnsi"/>
          <w:sz w:val="22"/>
          <w:szCs w:val="22"/>
        </w:rPr>
        <w:t xml:space="preserve">Ideally, kitchenettes will be available to all occupants and other campus users where appropriate. </w:t>
      </w:r>
      <w:r w:rsidR="00263981">
        <w:rPr>
          <w:rFonts w:cstheme="minorHAnsi"/>
          <w:sz w:val="22"/>
          <w:szCs w:val="22"/>
        </w:rPr>
        <w:t xml:space="preserve"> </w:t>
      </w:r>
      <w:r w:rsidRPr="001A76CA">
        <w:rPr>
          <w:rFonts w:cstheme="minorHAnsi"/>
          <w:sz w:val="22"/>
          <w:szCs w:val="22"/>
        </w:rPr>
        <w:t xml:space="preserve">If there is good cause for a kitchenette to be assigned to a unit for their primary use, expectations regarding use </w:t>
      </w:r>
      <w:r w:rsidR="00043859" w:rsidRPr="001A76CA">
        <w:rPr>
          <w:rFonts w:cstheme="minorHAnsi"/>
          <w:sz w:val="22"/>
          <w:szCs w:val="22"/>
        </w:rPr>
        <w:t>by</w:t>
      </w:r>
      <w:r w:rsidRPr="001A76CA">
        <w:rPr>
          <w:rFonts w:cstheme="minorHAnsi"/>
          <w:sz w:val="22"/>
          <w:szCs w:val="22"/>
        </w:rPr>
        <w:t xml:space="preserve"> others should be clearly defined and communicated to all building occupants. </w:t>
      </w:r>
    </w:p>
    <w:p w14:paraId="3EF9BBDC" w14:textId="77777777" w:rsidR="00263981" w:rsidRDefault="00263981" w:rsidP="006C0B70">
      <w:pPr>
        <w:tabs>
          <w:tab w:val="left" w:pos="4507"/>
          <w:tab w:val="left" w:pos="8903"/>
        </w:tabs>
        <w:adjustRightInd w:val="0"/>
        <w:snapToGrid w:val="0"/>
        <w:rPr>
          <w:rFonts w:cstheme="minorHAnsi"/>
          <w:sz w:val="22"/>
          <w:szCs w:val="22"/>
        </w:rPr>
      </w:pPr>
    </w:p>
    <w:p w14:paraId="32D8DBB1" w14:textId="58EE09C5"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Classrooms</w:t>
      </w:r>
    </w:p>
    <w:p w14:paraId="7705506E" w14:textId="65957BFD" w:rsidR="00951AD7" w:rsidRPr="001A76CA" w:rsidRDefault="00E5352E" w:rsidP="00F122B1">
      <w:pPr>
        <w:spacing w:before="80"/>
        <w:rPr>
          <w:rFonts w:cstheme="minorHAnsi"/>
          <w:sz w:val="22"/>
          <w:szCs w:val="22"/>
        </w:rPr>
      </w:pPr>
      <w:r w:rsidRPr="001A76CA">
        <w:rPr>
          <w:rFonts w:cstheme="minorHAnsi"/>
          <w:sz w:val="22"/>
          <w:szCs w:val="22"/>
        </w:rPr>
        <w:t xml:space="preserve">The </w:t>
      </w:r>
      <w:hyperlink r:id="rId9" w:history="1">
        <w:r w:rsidRPr="001A76CA">
          <w:rPr>
            <w:rStyle w:val="Hyperlink"/>
            <w:rFonts w:cstheme="minorHAnsi"/>
            <w:sz w:val="22"/>
            <w:szCs w:val="22"/>
          </w:rPr>
          <w:t>Academic and Event Scheduling Policy</w:t>
        </w:r>
      </w:hyperlink>
      <w:r w:rsidRPr="001A76CA">
        <w:rPr>
          <w:rFonts w:cstheme="minorHAnsi"/>
          <w:sz w:val="22"/>
          <w:szCs w:val="22"/>
        </w:rPr>
        <w:t xml:space="preserve"> identifies the expectations for availability and scheduling of </w:t>
      </w:r>
      <w:r w:rsidR="00F9043F" w:rsidRPr="001A76CA">
        <w:rPr>
          <w:rFonts w:cstheme="minorHAnsi"/>
          <w:sz w:val="22"/>
          <w:szCs w:val="22"/>
        </w:rPr>
        <w:t xml:space="preserve">general purpose </w:t>
      </w:r>
      <w:r w:rsidRPr="001A76CA">
        <w:rPr>
          <w:rFonts w:cstheme="minorHAnsi"/>
          <w:sz w:val="22"/>
          <w:szCs w:val="22"/>
        </w:rPr>
        <w:t>classroom</w:t>
      </w:r>
      <w:r w:rsidR="00F9043F" w:rsidRPr="001A76CA">
        <w:rPr>
          <w:rFonts w:cstheme="minorHAnsi"/>
          <w:sz w:val="22"/>
          <w:szCs w:val="22"/>
        </w:rPr>
        <w:t>s</w:t>
      </w:r>
      <w:r w:rsidRPr="001A76CA">
        <w:rPr>
          <w:rFonts w:cstheme="minorHAnsi"/>
          <w:sz w:val="22"/>
          <w:szCs w:val="22"/>
        </w:rPr>
        <w:t>.</w:t>
      </w:r>
      <w:r w:rsidR="0096533E">
        <w:rPr>
          <w:rFonts w:cstheme="minorHAnsi"/>
          <w:sz w:val="22"/>
          <w:szCs w:val="22"/>
        </w:rPr>
        <w:t xml:space="preserve">   The BMC </w:t>
      </w:r>
      <w:r w:rsidR="00914E9C">
        <w:rPr>
          <w:rFonts w:cstheme="minorHAnsi"/>
          <w:sz w:val="22"/>
          <w:szCs w:val="22"/>
        </w:rPr>
        <w:t>will</w:t>
      </w:r>
      <w:r w:rsidR="0096533E">
        <w:rPr>
          <w:rFonts w:cstheme="minorHAnsi"/>
          <w:sz w:val="22"/>
          <w:szCs w:val="22"/>
        </w:rPr>
        <w:t xml:space="preserve"> identify the framework </w:t>
      </w:r>
      <w:r w:rsidR="00914E9C">
        <w:rPr>
          <w:rFonts w:cstheme="minorHAnsi"/>
          <w:sz w:val="22"/>
          <w:szCs w:val="22"/>
        </w:rPr>
        <w:t>by which scheduling activities occur, whether through one lead office or in a distributed model</w:t>
      </w:r>
      <w:r w:rsidR="00403174">
        <w:rPr>
          <w:rFonts w:cstheme="minorHAnsi"/>
          <w:sz w:val="22"/>
          <w:szCs w:val="22"/>
        </w:rPr>
        <w:t xml:space="preserve">, consistent with the </w:t>
      </w:r>
      <w:hyperlink r:id="rId10" w:history="1">
        <w:r w:rsidR="00403174" w:rsidRPr="00403174">
          <w:rPr>
            <w:rStyle w:val="Hyperlink"/>
            <w:rFonts w:cstheme="minorHAnsi"/>
            <w:sz w:val="22"/>
            <w:szCs w:val="22"/>
          </w:rPr>
          <w:t>Academic and Event Scheduling Policy</w:t>
        </w:r>
      </w:hyperlink>
      <w:r w:rsidR="00403174">
        <w:rPr>
          <w:rFonts w:cstheme="minorHAnsi"/>
          <w:sz w:val="22"/>
          <w:szCs w:val="22"/>
        </w:rPr>
        <w:t>.</w:t>
      </w:r>
    </w:p>
    <w:p w14:paraId="516DA950" w14:textId="77777777" w:rsidR="00951AD7" w:rsidRPr="001A76CA" w:rsidRDefault="00951AD7" w:rsidP="006C0B70">
      <w:pPr>
        <w:tabs>
          <w:tab w:val="left" w:pos="4507"/>
          <w:tab w:val="left" w:pos="8903"/>
        </w:tabs>
        <w:adjustRightInd w:val="0"/>
        <w:snapToGrid w:val="0"/>
        <w:rPr>
          <w:rFonts w:cstheme="minorHAnsi"/>
          <w:sz w:val="22"/>
          <w:szCs w:val="22"/>
        </w:rPr>
      </w:pPr>
    </w:p>
    <w:p w14:paraId="7F1B4015" w14:textId="326A5805" w:rsidR="00951AD7" w:rsidRPr="001A76CA" w:rsidRDefault="002B0280" w:rsidP="00642AD3">
      <w:pPr>
        <w:rPr>
          <w:rFonts w:cstheme="minorHAnsi"/>
          <w:i/>
          <w:iCs/>
          <w:sz w:val="22"/>
          <w:szCs w:val="22"/>
        </w:rPr>
      </w:pPr>
      <w:r w:rsidRPr="001A76CA">
        <w:rPr>
          <w:rFonts w:cstheme="minorHAnsi"/>
          <w:i/>
          <w:iCs/>
          <w:sz w:val="22"/>
          <w:szCs w:val="22"/>
        </w:rPr>
        <w:t xml:space="preserve">Event </w:t>
      </w:r>
      <w:r w:rsidR="002C3054">
        <w:rPr>
          <w:rFonts w:cstheme="minorHAnsi"/>
          <w:i/>
          <w:iCs/>
          <w:sz w:val="22"/>
          <w:szCs w:val="22"/>
        </w:rPr>
        <w:t>S</w:t>
      </w:r>
      <w:r w:rsidRPr="001A76CA">
        <w:rPr>
          <w:rFonts w:cstheme="minorHAnsi"/>
          <w:i/>
          <w:iCs/>
          <w:sz w:val="22"/>
          <w:szCs w:val="22"/>
        </w:rPr>
        <w:t xml:space="preserve">paces, including </w:t>
      </w:r>
      <w:r w:rsidR="002C3054">
        <w:rPr>
          <w:rFonts w:cstheme="minorHAnsi"/>
          <w:i/>
          <w:iCs/>
          <w:sz w:val="22"/>
          <w:szCs w:val="22"/>
        </w:rPr>
        <w:t>O</w:t>
      </w:r>
      <w:r w:rsidRPr="001A76CA">
        <w:rPr>
          <w:rFonts w:cstheme="minorHAnsi"/>
          <w:i/>
          <w:iCs/>
          <w:sz w:val="22"/>
          <w:szCs w:val="22"/>
        </w:rPr>
        <w:t xml:space="preserve">utdoor </w:t>
      </w:r>
      <w:r w:rsidR="002C3054">
        <w:rPr>
          <w:rFonts w:cstheme="minorHAnsi"/>
          <w:i/>
          <w:iCs/>
          <w:sz w:val="22"/>
          <w:szCs w:val="22"/>
        </w:rPr>
        <w:t>S</w:t>
      </w:r>
      <w:r w:rsidRPr="001A76CA">
        <w:rPr>
          <w:rFonts w:cstheme="minorHAnsi"/>
          <w:i/>
          <w:iCs/>
          <w:sz w:val="22"/>
          <w:szCs w:val="22"/>
        </w:rPr>
        <w:t>p</w:t>
      </w:r>
      <w:r w:rsidR="00F9043F" w:rsidRPr="001A76CA">
        <w:rPr>
          <w:rFonts w:cstheme="minorHAnsi"/>
          <w:i/>
          <w:iCs/>
          <w:sz w:val="22"/>
          <w:szCs w:val="22"/>
        </w:rPr>
        <w:t>aces</w:t>
      </w:r>
    </w:p>
    <w:p w14:paraId="195BD840" w14:textId="491B2417" w:rsidR="00951AD7" w:rsidRDefault="57960FA1" w:rsidP="57960FA1">
      <w:pPr>
        <w:spacing w:before="80"/>
        <w:rPr>
          <w:sz w:val="22"/>
          <w:szCs w:val="22"/>
        </w:rPr>
      </w:pPr>
      <w:r w:rsidRPr="57960FA1">
        <w:rPr>
          <w:sz w:val="22"/>
          <w:szCs w:val="22"/>
        </w:rPr>
        <w:t xml:space="preserve">The </w:t>
      </w:r>
      <w:hyperlink r:id="rId11">
        <w:r w:rsidRPr="57960FA1">
          <w:rPr>
            <w:rStyle w:val="Hyperlink"/>
            <w:sz w:val="22"/>
            <w:szCs w:val="22"/>
          </w:rPr>
          <w:t>Academic and Event Scheduling Policy</w:t>
        </w:r>
      </w:hyperlink>
      <w:r w:rsidRPr="57960FA1">
        <w:rPr>
          <w:sz w:val="22"/>
          <w:szCs w:val="22"/>
        </w:rPr>
        <w:t xml:space="preserve"> identifies the most frequently encountered practices for managing reservations and expectations of use for event spaces, including outdoor spaces.   </w:t>
      </w:r>
      <w:r w:rsidR="00EF200B">
        <w:rPr>
          <w:sz w:val="22"/>
          <w:szCs w:val="22"/>
        </w:rPr>
        <w:t xml:space="preserve">Reservable event spaces are included in 25Live, along with photos, features, available times, etc. that can inform the request and reservation process.  Guidelines for event spaces can vary </w:t>
      </w:r>
      <w:r w:rsidRPr="57960FA1">
        <w:rPr>
          <w:sz w:val="22"/>
          <w:szCs w:val="22"/>
        </w:rPr>
        <w:t xml:space="preserve">based on location and type of space.   The BMC </w:t>
      </w:r>
      <w:r w:rsidR="00EF200B">
        <w:rPr>
          <w:sz w:val="22"/>
          <w:szCs w:val="22"/>
        </w:rPr>
        <w:t xml:space="preserve">should inform some over-arching consistency to the treatment of reservable spaces within or adjacent to the building and </w:t>
      </w:r>
      <w:r w:rsidRPr="57960FA1">
        <w:rPr>
          <w:sz w:val="22"/>
          <w:szCs w:val="22"/>
        </w:rPr>
        <w:t xml:space="preserve">will identify the framework by which scheduling activities occur, whether through one lead office or in a distributed model.  </w:t>
      </w:r>
    </w:p>
    <w:p w14:paraId="24C40B83" w14:textId="1DA5712D" w:rsidR="00EF200B" w:rsidRPr="007E2F83" w:rsidRDefault="00EF200B">
      <w:pPr>
        <w:rPr>
          <w:rFonts w:cstheme="minorHAnsi"/>
          <w:sz w:val="22"/>
          <w:szCs w:val="22"/>
        </w:rPr>
      </w:pPr>
    </w:p>
    <w:p w14:paraId="3900C75E" w14:textId="31445029" w:rsidR="002B0280" w:rsidRPr="001A76CA" w:rsidRDefault="002B0280" w:rsidP="006C0B70">
      <w:pPr>
        <w:tabs>
          <w:tab w:val="left" w:pos="4507"/>
          <w:tab w:val="left" w:pos="8903"/>
        </w:tabs>
        <w:adjustRightInd w:val="0"/>
        <w:snapToGrid w:val="0"/>
        <w:rPr>
          <w:rFonts w:cstheme="minorHAnsi"/>
          <w:i/>
          <w:iCs/>
          <w:sz w:val="22"/>
          <w:szCs w:val="22"/>
        </w:rPr>
      </w:pPr>
      <w:r w:rsidRPr="001A76CA">
        <w:rPr>
          <w:rFonts w:cstheme="minorHAnsi"/>
          <w:i/>
          <w:iCs/>
          <w:sz w:val="22"/>
          <w:szCs w:val="22"/>
        </w:rPr>
        <w:t>Lounges</w:t>
      </w:r>
    </w:p>
    <w:p w14:paraId="2E3B1CE7" w14:textId="68DE7E0E" w:rsidR="00951AD7" w:rsidRPr="001A76CA" w:rsidRDefault="14283058" w:rsidP="14283058">
      <w:pPr>
        <w:spacing w:before="80"/>
        <w:rPr>
          <w:sz w:val="22"/>
          <w:szCs w:val="22"/>
        </w:rPr>
      </w:pPr>
      <w:r w:rsidRPr="14283058">
        <w:rPr>
          <w:sz w:val="22"/>
          <w:szCs w:val="22"/>
        </w:rPr>
        <w:t>Lounges are typically setup to accommodate a specific demographic within a unit though consideration should be given to the opportunities for collaboration and socialization when lounges are identified for larger segments of the building population (e.g., an all-staff lounge, vs. a staff lounge for each unit).  Each unit should have guidelines on expectations of the space use and be responsible for any scheduled events.</w:t>
      </w:r>
    </w:p>
    <w:p w14:paraId="731300B0" w14:textId="77777777" w:rsidR="00951AD7" w:rsidRPr="001A76CA" w:rsidRDefault="00951AD7" w:rsidP="006C0B70">
      <w:pPr>
        <w:adjustRightInd w:val="0"/>
        <w:snapToGrid w:val="0"/>
        <w:rPr>
          <w:rFonts w:cstheme="minorHAnsi"/>
          <w:sz w:val="22"/>
          <w:szCs w:val="22"/>
        </w:rPr>
      </w:pPr>
    </w:p>
    <w:p w14:paraId="6DED2B2D" w14:textId="22688CB4" w:rsidR="002B0280" w:rsidRPr="001A76CA" w:rsidRDefault="002B0280" w:rsidP="008457BA">
      <w:pPr>
        <w:adjustRightInd w:val="0"/>
        <w:snapToGrid w:val="0"/>
        <w:jc w:val="center"/>
        <w:rPr>
          <w:rFonts w:cstheme="minorHAnsi"/>
          <w:sz w:val="22"/>
          <w:szCs w:val="22"/>
        </w:rPr>
      </w:pPr>
      <w:r w:rsidRPr="001A76CA">
        <w:rPr>
          <w:rFonts w:cstheme="minorHAnsi"/>
          <w:sz w:val="22"/>
          <w:szCs w:val="22"/>
          <w:u w:val="single"/>
        </w:rPr>
        <w:t xml:space="preserve">Treatment of </w:t>
      </w:r>
      <w:r w:rsidR="008457BA" w:rsidRPr="001A76CA">
        <w:rPr>
          <w:rFonts w:cstheme="minorHAnsi"/>
          <w:sz w:val="22"/>
          <w:szCs w:val="22"/>
          <w:u w:val="single"/>
        </w:rPr>
        <w:t>C</w:t>
      </w:r>
      <w:r w:rsidRPr="001A76CA">
        <w:rPr>
          <w:rFonts w:cstheme="minorHAnsi"/>
          <w:sz w:val="22"/>
          <w:szCs w:val="22"/>
          <w:u w:val="single"/>
        </w:rPr>
        <w:t xml:space="preserve">ertain </w:t>
      </w:r>
      <w:r w:rsidR="008457BA" w:rsidRPr="001A76CA">
        <w:rPr>
          <w:rFonts w:cstheme="minorHAnsi"/>
          <w:sz w:val="22"/>
          <w:szCs w:val="22"/>
          <w:u w:val="single"/>
        </w:rPr>
        <w:t>C</w:t>
      </w:r>
      <w:r w:rsidRPr="001A76CA">
        <w:rPr>
          <w:rFonts w:cstheme="minorHAnsi"/>
          <w:sz w:val="22"/>
          <w:szCs w:val="22"/>
          <w:u w:val="single"/>
        </w:rPr>
        <w:t xml:space="preserve">ommon </w:t>
      </w:r>
      <w:r w:rsidR="008457BA" w:rsidRPr="001A76CA">
        <w:rPr>
          <w:rFonts w:cstheme="minorHAnsi"/>
          <w:sz w:val="22"/>
          <w:szCs w:val="22"/>
          <w:u w:val="single"/>
        </w:rPr>
        <w:t>F</w:t>
      </w:r>
      <w:r w:rsidRPr="001A76CA">
        <w:rPr>
          <w:rFonts w:cstheme="minorHAnsi"/>
          <w:sz w:val="22"/>
          <w:szCs w:val="22"/>
          <w:u w:val="single"/>
        </w:rPr>
        <w:t>eatures</w:t>
      </w:r>
    </w:p>
    <w:p w14:paraId="15CA2501" w14:textId="77777777" w:rsidR="008457BA" w:rsidRPr="001A76CA" w:rsidRDefault="008457BA" w:rsidP="006C0B70">
      <w:pPr>
        <w:adjustRightInd w:val="0"/>
        <w:snapToGrid w:val="0"/>
        <w:rPr>
          <w:rFonts w:cstheme="minorHAnsi"/>
          <w:sz w:val="22"/>
          <w:szCs w:val="22"/>
        </w:rPr>
      </w:pPr>
    </w:p>
    <w:p w14:paraId="3E9E48DF" w14:textId="39928BEB" w:rsidR="002B0280" w:rsidRPr="001A76CA" w:rsidRDefault="002B0280" w:rsidP="006C0B70">
      <w:pPr>
        <w:adjustRightInd w:val="0"/>
        <w:snapToGrid w:val="0"/>
        <w:rPr>
          <w:rFonts w:cstheme="minorHAnsi"/>
          <w:i/>
          <w:iCs/>
          <w:sz w:val="22"/>
          <w:szCs w:val="22"/>
        </w:rPr>
      </w:pPr>
      <w:r w:rsidRPr="001A76CA">
        <w:rPr>
          <w:rFonts w:cstheme="minorHAnsi"/>
          <w:i/>
          <w:iCs/>
          <w:sz w:val="22"/>
          <w:szCs w:val="22"/>
        </w:rPr>
        <w:t>Signage</w:t>
      </w:r>
      <w:r w:rsidR="003C374E" w:rsidRPr="001A76CA">
        <w:rPr>
          <w:rFonts w:cstheme="minorHAnsi"/>
          <w:i/>
          <w:iCs/>
          <w:sz w:val="22"/>
          <w:szCs w:val="22"/>
        </w:rPr>
        <w:t xml:space="preserve"> – Space Identification and Wayfinding</w:t>
      </w:r>
    </w:p>
    <w:p w14:paraId="148920DF" w14:textId="15234DF9" w:rsidR="00D105DD" w:rsidRPr="001A76CA" w:rsidRDefault="00D105DD" w:rsidP="00F122B1">
      <w:pPr>
        <w:spacing w:before="80"/>
        <w:rPr>
          <w:rFonts w:cstheme="minorHAnsi"/>
          <w:sz w:val="22"/>
          <w:szCs w:val="22"/>
        </w:rPr>
      </w:pPr>
      <w:r w:rsidRPr="001A76CA">
        <w:rPr>
          <w:rFonts w:cstheme="minorHAnsi"/>
          <w:sz w:val="22"/>
          <w:szCs w:val="22"/>
        </w:rPr>
        <w:t xml:space="preserve">One signage standard should be established for the building. </w:t>
      </w:r>
      <w:r w:rsidR="00DA7AF5">
        <w:rPr>
          <w:rFonts w:cstheme="minorHAnsi"/>
          <w:sz w:val="22"/>
          <w:szCs w:val="22"/>
        </w:rPr>
        <w:t xml:space="preserve"> </w:t>
      </w:r>
      <w:r w:rsidRPr="001A76CA">
        <w:rPr>
          <w:rFonts w:cstheme="minorHAnsi"/>
          <w:sz w:val="22"/>
          <w:szCs w:val="22"/>
        </w:rPr>
        <w:t xml:space="preserve">Mandatory and emergency signage and general wayfinding signage such as directories must be consistent throughout the building and will be maintained by the building’s </w:t>
      </w:r>
      <w:r w:rsidR="003B38C5">
        <w:rPr>
          <w:rFonts w:cstheme="minorHAnsi"/>
          <w:sz w:val="22"/>
          <w:szCs w:val="22"/>
        </w:rPr>
        <w:t>L</w:t>
      </w:r>
      <w:r w:rsidR="008457BA" w:rsidRPr="001A76CA">
        <w:rPr>
          <w:rFonts w:cstheme="minorHAnsi"/>
          <w:sz w:val="22"/>
          <w:szCs w:val="22"/>
        </w:rPr>
        <w:t>ead</w:t>
      </w:r>
      <w:r w:rsidRPr="001A76CA">
        <w:rPr>
          <w:rFonts w:cstheme="minorHAnsi"/>
          <w:sz w:val="22"/>
          <w:szCs w:val="22"/>
        </w:rPr>
        <w:t xml:space="preserve"> </w:t>
      </w:r>
      <w:r w:rsidR="00A84E0F">
        <w:rPr>
          <w:rFonts w:cstheme="minorHAnsi"/>
          <w:sz w:val="22"/>
          <w:szCs w:val="22"/>
        </w:rPr>
        <w:t>UFD</w:t>
      </w:r>
      <w:r w:rsidRPr="001A76CA">
        <w:rPr>
          <w:rFonts w:cstheme="minorHAnsi"/>
          <w:sz w:val="22"/>
          <w:szCs w:val="22"/>
        </w:rPr>
        <w:t xml:space="preserve">. </w:t>
      </w:r>
      <w:r w:rsidR="008457BA" w:rsidRPr="001A76CA">
        <w:rPr>
          <w:rFonts w:cstheme="minorHAnsi"/>
          <w:sz w:val="22"/>
          <w:szCs w:val="22"/>
        </w:rPr>
        <w:t xml:space="preserve"> </w:t>
      </w:r>
      <w:r w:rsidRPr="001A76CA">
        <w:rPr>
          <w:rFonts w:cstheme="minorHAnsi"/>
          <w:sz w:val="22"/>
          <w:szCs w:val="22"/>
        </w:rPr>
        <w:t xml:space="preserve">Office and room signage should also remain </w:t>
      </w:r>
      <w:r w:rsidR="002C3054" w:rsidRPr="001A76CA">
        <w:rPr>
          <w:rFonts w:cstheme="minorHAnsi"/>
          <w:sz w:val="22"/>
          <w:szCs w:val="22"/>
        </w:rPr>
        <w:t>consistent,</w:t>
      </w:r>
      <w:r w:rsidRPr="001A76CA">
        <w:rPr>
          <w:rFonts w:cstheme="minorHAnsi"/>
          <w:sz w:val="22"/>
          <w:szCs w:val="22"/>
        </w:rPr>
        <w:t xml:space="preserve"> but the building standards should provide a variety of approved modifications </w:t>
      </w:r>
      <w:r w:rsidR="002C3054" w:rsidRPr="001A76CA">
        <w:rPr>
          <w:rFonts w:cstheme="minorHAnsi"/>
          <w:sz w:val="22"/>
          <w:szCs w:val="22"/>
        </w:rPr>
        <w:t>to</w:t>
      </w:r>
      <w:r w:rsidRPr="001A76CA">
        <w:rPr>
          <w:rFonts w:cstheme="minorHAnsi"/>
          <w:sz w:val="22"/>
          <w:szCs w:val="22"/>
        </w:rPr>
        <w:t xml:space="preserve"> meet the needs of all units and to remain adaptable to changes in space usage by units over time. Similarly, other forms of signage such as vinyl applications on office suite windows should strive for consistency </w:t>
      </w:r>
      <w:r w:rsidR="002C3054" w:rsidRPr="001A76CA">
        <w:rPr>
          <w:rFonts w:cstheme="minorHAnsi"/>
          <w:sz w:val="22"/>
          <w:szCs w:val="22"/>
        </w:rPr>
        <w:t>using</w:t>
      </w:r>
      <w:r w:rsidRPr="001A76CA">
        <w:rPr>
          <w:rFonts w:cstheme="minorHAnsi"/>
          <w:sz w:val="22"/>
          <w:szCs w:val="22"/>
        </w:rPr>
        <w:t xml:space="preserve"> common fonts, sizing, and layouts.</w:t>
      </w:r>
    </w:p>
    <w:p w14:paraId="3837F3DC" w14:textId="355C43C0" w:rsidR="003C374E" w:rsidRPr="001A76CA" w:rsidRDefault="003C374E" w:rsidP="0057695F">
      <w:pPr>
        <w:rPr>
          <w:rFonts w:cstheme="minorHAnsi"/>
          <w:i/>
          <w:iCs/>
          <w:sz w:val="22"/>
          <w:szCs w:val="22"/>
        </w:rPr>
      </w:pPr>
      <w:r w:rsidRPr="001A76CA">
        <w:rPr>
          <w:rFonts w:cstheme="minorHAnsi"/>
          <w:i/>
          <w:iCs/>
          <w:sz w:val="22"/>
          <w:szCs w:val="22"/>
        </w:rPr>
        <w:lastRenderedPageBreak/>
        <w:t>Signage – Communications</w:t>
      </w:r>
    </w:p>
    <w:p w14:paraId="29350A9C" w14:textId="13DB0BED" w:rsidR="003C374E" w:rsidRPr="001A76CA" w:rsidRDefault="003C374E" w:rsidP="00F122B1">
      <w:pPr>
        <w:spacing w:before="80"/>
        <w:rPr>
          <w:rFonts w:cstheme="minorHAnsi"/>
          <w:sz w:val="22"/>
          <w:szCs w:val="22"/>
        </w:rPr>
      </w:pPr>
      <w:r w:rsidRPr="001A76CA">
        <w:rPr>
          <w:rFonts w:cstheme="minorHAnsi"/>
          <w:sz w:val="22"/>
          <w:szCs w:val="22"/>
        </w:rPr>
        <w:t>Signage for communications campaigns (i.e., electronic signage, bulletin boards) should be divided by units in relation to their assigned square footage in the building and the functions housed within that space. For example, electronic signage should likely be located nearby student services offices so that these offices may share relevant, timely messaging for students both from their unit and from campus services such as Cornell Health. Units may decide to share electronic signage but then must create a common mechanism from which to push and rotate content for the signage. Posting areas or bulletin boards should be similarly divided with boards near high-traffic areas for each unit primarily programmed by that unit. Units should work with facilities staff and building care as to routine clearing-off of postings throughout the academic year.</w:t>
      </w:r>
    </w:p>
    <w:p w14:paraId="29600C7E" w14:textId="7AB946D9" w:rsidR="002C3054" w:rsidRPr="00AD09B7" w:rsidRDefault="002C3054" w:rsidP="00AD09B7">
      <w:pPr>
        <w:rPr>
          <w:rFonts w:cstheme="minorHAnsi"/>
          <w:sz w:val="22"/>
          <w:szCs w:val="22"/>
        </w:rPr>
      </w:pPr>
    </w:p>
    <w:p w14:paraId="2CFB1DF2" w14:textId="5426D826" w:rsidR="003C374E" w:rsidRPr="001A76CA" w:rsidRDefault="5B5E8EAD" w:rsidP="5B5E8EAD">
      <w:pPr>
        <w:rPr>
          <w:i/>
          <w:iCs/>
          <w:sz w:val="22"/>
          <w:szCs w:val="22"/>
        </w:rPr>
      </w:pPr>
      <w:r w:rsidRPr="5B5E8EAD">
        <w:rPr>
          <w:i/>
          <w:iCs/>
          <w:sz w:val="22"/>
          <w:szCs w:val="22"/>
        </w:rPr>
        <w:t>Environmental Branding</w:t>
      </w:r>
    </w:p>
    <w:p w14:paraId="7F1B15A7" w14:textId="309BB214" w:rsidR="003C374E" w:rsidRDefault="003C374E" w:rsidP="00F122B1">
      <w:pPr>
        <w:spacing w:before="80"/>
        <w:rPr>
          <w:rFonts w:cstheme="minorHAnsi"/>
          <w:sz w:val="22"/>
          <w:szCs w:val="22"/>
        </w:rPr>
      </w:pPr>
      <w:r w:rsidRPr="001A76CA">
        <w:rPr>
          <w:rFonts w:cstheme="minorHAnsi"/>
          <w:sz w:val="22"/>
          <w:szCs w:val="22"/>
        </w:rPr>
        <w:t xml:space="preserve">As with building signage, environmental branding within and outside the building should strive to be reasonably consistent in its style, approach, and placement so as not to create overly clashing styles between spaces in the same building. </w:t>
      </w:r>
      <w:r w:rsidR="00C57ADE">
        <w:rPr>
          <w:rFonts w:cstheme="minorHAnsi"/>
          <w:sz w:val="22"/>
          <w:szCs w:val="22"/>
        </w:rPr>
        <w:t xml:space="preserve"> </w:t>
      </w:r>
      <w:r w:rsidRPr="001A76CA">
        <w:rPr>
          <w:rFonts w:cstheme="minorHAnsi"/>
          <w:sz w:val="22"/>
          <w:szCs w:val="22"/>
        </w:rPr>
        <w:t xml:space="preserve">Unit leadership will likely need to be engaged in developing this approach as these elements are often important to students, faculty, and other stakeholders including alumni. </w:t>
      </w:r>
      <w:r w:rsidR="00C57ADE">
        <w:rPr>
          <w:rFonts w:cstheme="minorHAnsi"/>
          <w:sz w:val="22"/>
          <w:szCs w:val="22"/>
        </w:rPr>
        <w:t xml:space="preserve"> </w:t>
      </w:r>
      <w:r w:rsidRPr="001A76CA">
        <w:rPr>
          <w:rFonts w:cstheme="minorHAnsi"/>
          <w:sz w:val="22"/>
          <w:szCs w:val="22"/>
        </w:rPr>
        <w:t xml:space="preserve">As with communications signage, high traffic areas for each unit should be identified and branding approaches for each discussed with leadership as necessary. </w:t>
      </w:r>
      <w:r w:rsidR="00C57ADE">
        <w:rPr>
          <w:rFonts w:cstheme="minorHAnsi"/>
          <w:sz w:val="22"/>
          <w:szCs w:val="22"/>
        </w:rPr>
        <w:t xml:space="preserve"> </w:t>
      </w:r>
      <w:r w:rsidRPr="001A76CA">
        <w:rPr>
          <w:rFonts w:cstheme="minorHAnsi"/>
          <w:sz w:val="22"/>
          <w:szCs w:val="22"/>
        </w:rPr>
        <w:t xml:space="preserve">Exterior signage should indicate the presence of all units within the building, in coordination with facilities as to the appropriate placement of unit names alongside required building signage and address markers. </w:t>
      </w:r>
      <w:r w:rsidR="00C57ADE">
        <w:rPr>
          <w:rFonts w:cstheme="minorHAnsi"/>
          <w:sz w:val="22"/>
          <w:szCs w:val="22"/>
        </w:rPr>
        <w:t xml:space="preserve"> </w:t>
      </w:r>
      <w:r w:rsidRPr="001A76CA">
        <w:rPr>
          <w:rFonts w:cstheme="minorHAnsi"/>
          <w:sz w:val="22"/>
          <w:szCs w:val="22"/>
        </w:rPr>
        <w:t>Exterior marketing such as unit-branded flags or banners should be divided by units roughly by the proportion of assignable square footage for each unit</w:t>
      </w:r>
      <w:r w:rsidR="00C57ADE">
        <w:rPr>
          <w:rFonts w:cstheme="minorHAnsi"/>
          <w:sz w:val="22"/>
          <w:szCs w:val="22"/>
        </w:rPr>
        <w:t xml:space="preserve"> or by another agreed upon metric</w:t>
      </w:r>
      <w:r w:rsidRPr="001A76CA">
        <w:rPr>
          <w:rFonts w:cstheme="minorHAnsi"/>
          <w:sz w:val="22"/>
          <w:szCs w:val="22"/>
        </w:rPr>
        <w:t xml:space="preserve">. </w:t>
      </w:r>
      <w:r w:rsidR="00C57ADE">
        <w:rPr>
          <w:rFonts w:cstheme="minorHAnsi"/>
          <w:sz w:val="22"/>
          <w:szCs w:val="22"/>
        </w:rPr>
        <w:t xml:space="preserve"> </w:t>
      </w:r>
      <w:r w:rsidRPr="001A76CA">
        <w:rPr>
          <w:rFonts w:cstheme="minorHAnsi"/>
          <w:sz w:val="22"/>
          <w:szCs w:val="22"/>
        </w:rPr>
        <w:t xml:space="preserve">Flags </w:t>
      </w:r>
      <w:r w:rsidR="00C57ADE">
        <w:rPr>
          <w:rFonts w:cstheme="minorHAnsi"/>
          <w:sz w:val="22"/>
          <w:szCs w:val="22"/>
        </w:rPr>
        <w:t xml:space="preserve">displayed </w:t>
      </w:r>
      <w:r w:rsidRPr="001A76CA">
        <w:rPr>
          <w:rFonts w:cstheme="minorHAnsi"/>
          <w:sz w:val="22"/>
          <w:szCs w:val="22"/>
        </w:rPr>
        <w:t xml:space="preserve">at main entrances and key exterior </w:t>
      </w:r>
      <w:r w:rsidR="00EF3C03" w:rsidRPr="001A76CA">
        <w:rPr>
          <w:rFonts w:cstheme="minorHAnsi"/>
          <w:sz w:val="22"/>
          <w:szCs w:val="22"/>
        </w:rPr>
        <w:t>landmarks,</w:t>
      </w:r>
      <w:r w:rsidRPr="001A76CA">
        <w:rPr>
          <w:rFonts w:cstheme="minorHAnsi"/>
          <w:sz w:val="22"/>
          <w:szCs w:val="22"/>
        </w:rPr>
        <w:t xml:space="preserve"> or wayfinding points</w:t>
      </w:r>
      <w:r w:rsidR="00C57ADE">
        <w:rPr>
          <w:rFonts w:cstheme="minorHAnsi"/>
          <w:sz w:val="22"/>
          <w:szCs w:val="22"/>
        </w:rPr>
        <w:t xml:space="preserve"> should represent all units present in the building</w:t>
      </w:r>
      <w:r w:rsidRPr="001A76CA">
        <w:rPr>
          <w:rFonts w:cstheme="minorHAnsi"/>
          <w:sz w:val="22"/>
          <w:szCs w:val="22"/>
        </w:rPr>
        <w:t>.</w:t>
      </w:r>
    </w:p>
    <w:p w14:paraId="5D4F8B2B" w14:textId="77777777" w:rsidR="00AD09B7" w:rsidRDefault="00AD09B7" w:rsidP="00AD09B7">
      <w:pPr>
        <w:rPr>
          <w:rFonts w:cstheme="minorHAnsi"/>
          <w:sz w:val="22"/>
          <w:szCs w:val="22"/>
        </w:rPr>
      </w:pPr>
    </w:p>
    <w:p w14:paraId="507A8EE6" w14:textId="5A5379C5" w:rsidR="00AD09B7" w:rsidRPr="001A76CA" w:rsidRDefault="00AD09B7" w:rsidP="00AD09B7">
      <w:pPr>
        <w:rPr>
          <w:i/>
          <w:iCs/>
          <w:sz w:val="22"/>
          <w:szCs w:val="22"/>
        </w:rPr>
      </w:pPr>
      <w:r>
        <w:rPr>
          <w:i/>
          <w:iCs/>
          <w:sz w:val="22"/>
          <w:szCs w:val="22"/>
        </w:rPr>
        <w:t>Naming Interior Spaces in State Buildings</w:t>
      </w:r>
    </w:p>
    <w:p w14:paraId="009ADF70" w14:textId="2B6E56A9" w:rsidR="00AD09B7" w:rsidRDefault="00AD09B7" w:rsidP="00AD09B7">
      <w:pPr>
        <w:spacing w:before="80"/>
        <w:rPr>
          <w:rFonts w:cstheme="minorHAnsi"/>
          <w:sz w:val="22"/>
          <w:szCs w:val="22"/>
        </w:rPr>
      </w:pPr>
      <w:r>
        <w:rPr>
          <w:rFonts w:cstheme="minorHAnsi"/>
          <w:sz w:val="22"/>
          <w:szCs w:val="22"/>
        </w:rPr>
        <w:t>For New York State-owned buildings:</w:t>
      </w:r>
    </w:p>
    <w:p w14:paraId="5220D426" w14:textId="17C90D77" w:rsidR="00AD09B7" w:rsidRPr="00AD09B7" w:rsidRDefault="00AD09B7" w:rsidP="00AD09B7">
      <w:pPr>
        <w:pStyle w:val="ListParagraph"/>
        <w:numPr>
          <w:ilvl w:val="0"/>
          <w:numId w:val="28"/>
        </w:numPr>
        <w:spacing w:before="80"/>
        <w:rPr>
          <w:rFonts w:cstheme="minorHAnsi"/>
          <w:sz w:val="22"/>
          <w:szCs w:val="22"/>
        </w:rPr>
      </w:pPr>
      <w:r w:rsidRPr="00AD09B7">
        <w:rPr>
          <w:rFonts w:cstheme="minorHAnsi"/>
          <w:sz w:val="22"/>
          <w:szCs w:val="22"/>
        </w:rPr>
        <w:t>Naming is under the governance of Policy 3.1, University Fundraising; Cornell notifies New York State when naming buildings; no notification is required for interior spaces; no New York State rules apply</w:t>
      </w:r>
    </w:p>
    <w:p w14:paraId="4E141535" w14:textId="7C5C0E87" w:rsidR="00AD09B7" w:rsidRPr="00AD09B7" w:rsidRDefault="00AD09B7" w:rsidP="00AD09B7">
      <w:pPr>
        <w:pStyle w:val="ListParagraph"/>
        <w:numPr>
          <w:ilvl w:val="0"/>
          <w:numId w:val="28"/>
        </w:numPr>
        <w:spacing w:before="80"/>
        <w:rPr>
          <w:rFonts w:cstheme="minorHAnsi"/>
          <w:sz w:val="22"/>
          <w:szCs w:val="22"/>
        </w:rPr>
      </w:pPr>
      <w:r w:rsidRPr="00AD09B7">
        <w:rPr>
          <w:rFonts w:cstheme="minorHAnsi"/>
          <w:sz w:val="22"/>
          <w:szCs w:val="22"/>
        </w:rPr>
        <w:t>Naming of an interior space in a state-owned building can occur regardless of whether the occupant/program is contract college or endowed.</w:t>
      </w:r>
    </w:p>
    <w:p w14:paraId="6822FF5E" w14:textId="0A969EE9" w:rsidR="00EF3C03" w:rsidRPr="00ED5CF9" w:rsidRDefault="00EF3C03">
      <w:pPr>
        <w:rPr>
          <w:rFonts w:cstheme="minorHAnsi"/>
          <w:sz w:val="22"/>
          <w:szCs w:val="22"/>
        </w:rPr>
      </w:pPr>
    </w:p>
    <w:p w14:paraId="1899FA28" w14:textId="34562700" w:rsidR="002B0280" w:rsidRPr="001A76CA" w:rsidRDefault="002B0280" w:rsidP="00F122B1">
      <w:pPr>
        <w:tabs>
          <w:tab w:val="left" w:pos="4507"/>
          <w:tab w:val="left" w:pos="8903"/>
        </w:tabs>
        <w:adjustRightInd w:val="0"/>
        <w:snapToGrid w:val="0"/>
        <w:jc w:val="center"/>
        <w:rPr>
          <w:rFonts w:cstheme="minorHAnsi"/>
          <w:sz w:val="22"/>
          <w:szCs w:val="22"/>
          <w:u w:val="single"/>
        </w:rPr>
      </w:pPr>
      <w:r w:rsidRPr="001A76CA">
        <w:rPr>
          <w:rFonts w:cstheme="minorHAnsi"/>
          <w:sz w:val="22"/>
          <w:szCs w:val="22"/>
          <w:u w:val="single"/>
        </w:rPr>
        <w:t xml:space="preserve">Managing </w:t>
      </w:r>
      <w:r w:rsidR="00F122B1" w:rsidRPr="001A76CA">
        <w:rPr>
          <w:rFonts w:cstheme="minorHAnsi"/>
          <w:sz w:val="22"/>
          <w:szCs w:val="22"/>
          <w:u w:val="single"/>
        </w:rPr>
        <w:t>O</w:t>
      </w:r>
      <w:r w:rsidRPr="001A76CA">
        <w:rPr>
          <w:rFonts w:cstheme="minorHAnsi"/>
          <w:sz w:val="22"/>
          <w:szCs w:val="22"/>
          <w:u w:val="single"/>
        </w:rPr>
        <w:t>perations</w:t>
      </w:r>
    </w:p>
    <w:p w14:paraId="21DA8A5E" w14:textId="77777777" w:rsidR="00F122B1" w:rsidRPr="001A76CA" w:rsidRDefault="00F122B1" w:rsidP="006C0B70">
      <w:pPr>
        <w:tabs>
          <w:tab w:val="left" w:pos="4507"/>
          <w:tab w:val="left" w:pos="8903"/>
        </w:tabs>
        <w:adjustRightInd w:val="0"/>
        <w:snapToGrid w:val="0"/>
        <w:rPr>
          <w:rFonts w:cstheme="minorHAnsi"/>
          <w:sz w:val="22"/>
          <w:szCs w:val="22"/>
        </w:rPr>
      </w:pPr>
    </w:p>
    <w:p w14:paraId="6582F572" w14:textId="293930F3" w:rsidR="00014DD3" w:rsidRPr="001A76CA" w:rsidRDefault="002B0280" w:rsidP="00C92EF2">
      <w:pPr>
        <w:tabs>
          <w:tab w:val="left" w:pos="4507"/>
          <w:tab w:val="left" w:pos="8903"/>
        </w:tabs>
        <w:adjustRightInd w:val="0"/>
        <w:snapToGrid w:val="0"/>
        <w:rPr>
          <w:rFonts w:cstheme="minorHAnsi"/>
          <w:i/>
          <w:iCs/>
          <w:sz w:val="22"/>
          <w:szCs w:val="22"/>
        </w:rPr>
      </w:pPr>
      <w:r w:rsidRPr="001A76CA">
        <w:rPr>
          <w:rFonts w:cstheme="minorHAnsi"/>
          <w:i/>
          <w:iCs/>
          <w:sz w:val="22"/>
          <w:szCs w:val="22"/>
        </w:rPr>
        <w:t xml:space="preserve">Access </w:t>
      </w:r>
      <w:r w:rsidR="00F122B1" w:rsidRPr="001A76CA">
        <w:rPr>
          <w:rFonts w:cstheme="minorHAnsi"/>
          <w:i/>
          <w:iCs/>
          <w:sz w:val="22"/>
          <w:szCs w:val="22"/>
        </w:rPr>
        <w:t>C</w:t>
      </w:r>
      <w:r w:rsidRPr="001A76CA">
        <w:rPr>
          <w:rFonts w:cstheme="minorHAnsi"/>
          <w:i/>
          <w:iCs/>
          <w:sz w:val="22"/>
          <w:szCs w:val="22"/>
        </w:rPr>
        <w:t>ontro</w:t>
      </w:r>
      <w:r w:rsidR="00014DD3" w:rsidRPr="001A76CA">
        <w:rPr>
          <w:rFonts w:cstheme="minorHAnsi"/>
          <w:i/>
          <w:iCs/>
          <w:sz w:val="22"/>
          <w:szCs w:val="22"/>
        </w:rPr>
        <w:t>l</w:t>
      </w:r>
    </w:p>
    <w:p w14:paraId="1CC3DA78" w14:textId="6FA8EDB4" w:rsidR="00014DD3" w:rsidRPr="001A76CA" w:rsidRDefault="00C92EF2" w:rsidP="00C92EF2">
      <w:pPr>
        <w:spacing w:before="80"/>
        <w:rPr>
          <w:rFonts w:cstheme="minorHAnsi"/>
          <w:sz w:val="22"/>
          <w:szCs w:val="22"/>
        </w:rPr>
      </w:pPr>
      <w:hyperlink r:id="rId12" w:history="1">
        <w:r w:rsidRPr="001A76CA">
          <w:rPr>
            <w:rStyle w:val="Hyperlink"/>
            <w:rFonts w:cstheme="minorHAnsi"/>
            <w:sz w:val="22"/>
            <w:szCs w:val="22"/>
          </w:rPr>
          <w:t>University Policy 8.4, Management of Keys and Other Access Control Systems</w:t>
        </w:r>
      </w:hyperlink>
      <w:r w:rsidRPr="001A76CA">
        <w:rPr>
          <w:rFonts w:cstheme="minorHAnsi"/>
          <w:sz w:val="22"/>
          <w:szCs w:val="22"/>
        </w:rPr>
        <w:t xml:space="preserve">, </w:t>
      </w:r>
      <w:r w:rsidR="00014DD3" w:rsidRPr="001A76CA">
        <w:rPr>
          <w:rFonts w:cstheme="minorHAnsi"/>
          <w:sz w:val="22"/>
          <w:szCs w:val="22"/>
        </w:rPr>
        <w:t xml:space="preserve">requires that everyone acting on behalf of Cornell University must take responsibility for faculty, staff, and student safety, as well as the security of university physical space and the assets contained therein. </w:t>
      </w:r>
      <w:r w:rsidR="00C57ADE">
        <w:rPr>
          <w:rFonts w:cstheme="minorHAnsi"/>
          <w:sz w:val="22"/>
          <w:szCs w:val="22"/>
        </w:rPr>
        <w:t xml:space="preserve"> </w:t>
      </w:r>
      <w:r w:rsidR="00014DD3" w:rsidRPr="001A76CA">
        <w:rPr>
          <w:rFonts w:cstheme="minorHAnsi"/>
          <w:sz w:val="22"/>
          <w:szCs w:val="22"/>
        </w:rPr>
        <w:t xml:space="preserve">An essential element of security is maintaining adequate control to ensure that university assets are accessed only by those authorized to do so. </w:t>
      </w:r>
      <w:r w:rsidR="00C57ADE">
        <w:rPr>
          <w:rFonts w:cstheme="minorHAnsi"/>
          <w:sz w:val="22"/>
          <w:szCs w:val="22"/>
        </w:rPr>
        <w:t xml:space="preserve"> </w:t>
      </w:r>
      <w:r w:rsidR="00014DD3" w:rsidRPr="001A76CA">
        <w:rPr>
          <w:rFonts w:cstheme="minorHAnsi"/>
          <w:sz w:val="22"/>
          <w:szCs w:val="22"/>
        </w:rPr>
        <w:t>This necessitates the tracking of university key systems and access control devices, as well as the locations they access and the individuals to whom they are issued.</w:t>
      </w:r>
    </w:p>
    <w:p w14:paraId="36B5EF0C" w14:textId="7CA077EC" w:rsidR="00AD09B7" w:rsidRPr="00AD09B7" w:rsidRDefault="00C92EF2" w:rsidP="00AD09B7">
      <w:pPr>
        <w:spacing w:before="160"/>
        <w:rPr>
          <w:rFonts w:cstheme="minorHAnsi"/>
          <w:sz w:val="22"/>
          <w:szCs w:val="22"/>
        </w:rPr>
      </w:pPr>
      <w:r w:rsidRPr="001A76CA">
        <w:rPr>
          <w:rFonts w:cstheme="minorHAnsi"/>
          <w:sz w:val="22"/>
          <w:szCs w:val="22"/>
        </w:rPr>
        <w:t xml:space="preserve">Management of the access control program is assigned to the </w:t>
      </w:r>
      <w:r w:rsidR="00C6612A">
        <w:rPr>
          <w:rFonts w:cstheme="minorHAnsi"/>
          <w:sz w:val="22"/>
          <w:szCs w:val="22"/>
        </w:rPr>
        <w:t xml:space="preserve">Lead </w:t>
      </w:r>
      <w:r w:rsidR="00A84E0F">
        <w:rPr>
          <w:rFonts w:cstheme="minorHAnsi"/>
          <w:sz w:val="22"/>
          <w:szCs w:val="22"/>
        </w:rPr>
        <w:t xml:space="preserve">UFD </w:t>
      </w:r>
      <w:r w:rsidRPr="001A76CA">
        <w:rPr>
          <w:rFonts w:cstheme="minorHAnsi"/>
          <w:sz w:val="22"/>
          <w:szCs w:val="22"/>
        </w:rPr>
        <w:t xml:space="preserve">unless otherwise described here. </w:t>
      </w:r>
      <w:r w:rsidR="00AD09B7">
        <w:rPr>
          <w:rFonts w:cstheme="minorHAnsi"/>
          <w:i/>
          <w:iCs/>
          <w:sz w:val="22"/>
          <w:szCs w:val="22"/>
        </w:rPr>
        <w:br w:type="page"/>
      </w:r>
    </w:p>
    <w:p w14:paraId="4C313892" w14:textId="65C7A29B" w:rsidR="002B0280" w:rsidRPr="001A76CA" w:rsidRDefault="002B0280" w:rsidP="00C6612A">
      <w:pPr>
        <w:rPr>
          <w:rFonts w:cstheme="minorHAnsi"/>
          <w:i/>
          <w:iCs/>
          <w:sz w:val="22"/>
          <w:szCs w:val="22"/>
        </w:rPr>
      </w:pPr>
      <w:r w:rsidRPr="001A76CA">
        <w:rPr>
          <w:rFonts w:cstheme="minorHAnsi"/>
          <w:i/>
          <w:iCs/>
          <w:sz w:val="22"/>
          <w:szCs w:val="22"/>
        </w:rPr>
        <w:lastRenderedPageBreak/>
        <w:t xml:space="preserve">Building </w:t>
      </w:r>
      <w:r w:rsidR="00C92EF2" w:rsidRPr="001A76CA">
        <w:rPr>
          <w:rFonts w:cstheme="minorHAnsi"/>
          <w:i/>
          <w:iCs/>
          <w:sz w:val="22"/>
          <w:szCs w:val="22"/>
        </w:rPr>
        <w:t>H</w:t>
      </w:r>
      <w:r w:rsidRPr="001A76CA">
        <w:rPr>
          <w:rFonts w:cstheme="minorHAnsi"/>
          <w:i/>
          <w:iCs/>
          <w:sz w:val="22"/>
          <w:szCs w:val="22"/>
        </w:rPr>
        <w:t>ours</w:t>
      </w:r>
    </w:p>
    <w:p w14:paraId="0CE54D6F" w14:textId="03E7A0A7" w:rsidR="00AA1F3C" w:rsidRDefault="00FB48EE" w:rsidP="003B797F">
      <w:pPr>
        <w:tabs>
          <w:tab w:val="left" w:pos="4507"/>
          <w:tab w:val="left" w:pos="8903"/>
        </w:tabs>
        <w:adjustRightInd w:val="0"/>
        <w:snapToGrid w:val="0"/>
        <w:spacing w:before="80"/>
        <w:rPr>
          <w:rFonts w:cstheme="minorHAnsi"/>
          <w:sz w:val="22"/>
          <w:szCs w:val="22"/>
        </w:rPr>
      </w:pPr>
      <w:r w:rsidRPr="001A76CA">
        <w:rPr>
          <w:rFonts w:cstheme="minorHAnsi"/>
          <w:sz w:val="22"/>
          <w:szCs w:val="22"/>
        </w:rPr>
        <w:t xml:space="preserve">Building hours are determined by the </w:t>
      </w:r>
      <w:r w:rsidR="003B797F">
        <w:rPr>
          <w:rFonts w:cstheme="minorHAnsi"/>
          <w:sz w:val="22"/>
          <w:szCs w:val="22"/>
        </w:rPr>
        <w:t>Le</w:t>
      </w:r>
      <w:r w:rsidR="00C92EF2" w:rsidRPr="001A76CA">
        <w:rPr>
          <w:rFonts w:cstheme="minorHAnsi"/>
          <w:sz w:val="22"/>
          <w:szCs w:val="22"/>
        </w:rPr>
        <w:t>ad</w:t>
      </w:r>
      <w:r w:rsidRPr="001A76CA">
        <w:rPr>
          <w:rFonts w:cstheme="minorHAnsi"/>
          <w:sz w:val="22"/>
          <w:szCs w:val="22"/>
        </w:rPr>
        <w:t xml:space="preserve"> </w:t>
      </w:r>
      <w:r w:rsidR="003B797F">
        <w:rPr>
          <w:rFonts w:cstheme="minorHAnsi"/>
          <w:sz w:val="22"/>
          <w:szCs w:val="22"/>
        </w:rPr>
        <w:t>U</w:t>
      </w:r>
      <w:r w:rsidR="00A84E0F">
        <w:rPr>
          <w:rFonts w:cstheme="minorHAnsi"/>
          <w:sz w:val="22"/>
          <w:szCs w:val="22"/>
        </w:rPr>
        <w:t xml:space="preserve">FD </w:t>
      </w:r>
      <w:r w:rsidR="00C92EF2" w:rsidRPr="001A76CA">
        <w:rPr>
          <w:rFonts w:cstheme="minorHAnsi"/>
          <w:sz w:val="22"/>
          <w:szCs w:val="22"/>
        </w:rPr>
        <w:t>in consultation with the B</w:t>
      </w:r>
      <w:r w:rsidR="00AA1F3C">
        <w:rPr>
          <w:rFonts w:cstheme="minorHAnsi"/>
          <w:sz w:val="22"/>
          <w:szCs w:val="22"/>
        </w:rPr>
        <w:t>MC</w:t>
      </w:r>
      <w:r w:rsidRPr="001A76CA">
        <w:rPr>
          <w:rFonts w:cstheme="minorHAnsi"/>
          <w:sz w:val="22"/>
          <w:szCs w:val="22"/>
        </w:rPr>
        <w:t xml:space="preserve">. </w:t>
      </w:r>
      <w:r w:rsidR="00AA1F3C">
        <w:rPr>
          <w:rFonts w:cstheme="minorHAnsi"/>
          <w:sz w:val="22"/>
          <w:szCs w:val="22"/>
        </w:rPr>
        <w:t xml:space="preserve"> </w:t>
      </w:r>
      <w:r w:rsidR="008B659D">
        <w:rPr>
          <w:rFonts w:cstheme="minorHAnsi"/>
          <w:sz w:val="22"/>
          <w:szCs w:val="22"/>
        </w:rPr>
        <w:t xml:space="preserve">Building hours should always accommodate access to general purpose classrooms during the regular weekly class meeting pattern, including exam periods.   </w:t>
      </w:r>
      <w:r w:rsidR="00AA1F3C">
        <w:rPr>
          <w:rFonts w:cstheme="minorHAnsi"/>
          <w:sz w:val="22"/>
          <w:szCs w:val="22"/>
        </w:rPr>
        <w:t>Changes in building hours due to u</w:t>
      </w:r>
      <w:r w:rsidRPr="001A76CA">
        <w:rPr>
          <w:rFonts w:cstheme="minorHAnsi"/>
          <w:sz w:val="22"/>
          <w:szCs w:val="22"/>
        </w:rPr>
        <w:t>nique event scheduling requirements must co</w:t>
      </w:r>
      <w:r w:rsidR="00AA1F3C">
        <w:rPr>
          <w:rFonts w:cstheme="minorHAnsi"/>
          <w:sz w:val="22"/>
          <w:szCs w:val="22"/>
        </w:rPr>
        <w:t>mply with the Building Hours Temporary Change Request procedure.</w:t>
      </w:r>
    </w:p>
    <w:p w14:paraId="300F76CE" w14:textId="77777777" w:rsidR="003C007A" w:rsidRPr="001A76CA" w:rsidRDefault="003C007A" w:rsidP="006C0B70">
      <w:pPr>
        <w:adjustRightInd w:val="0"/>
        <w:snapToGrid w:val="0"/>
        <w:rPr>
          <w:rFonts w:cstheme="minorHAnsi"/>
          <w:sz w:val="22"/>
          <w:szCs w:val="22"/>
        </w:rPr>
      </w:pPr>
    </w:p>
    <w:p w14:paraId="001831A3" w14:textId="77777777" w:rsidR="00330BAF" w:rsidRDefault="00330BAF" w:rsidP="00EA556C">
      <w:pPr>
        <w:rPr>
          <w:rFonts w:cstheme="minorHAnsi"/>
          <w:i/>
          <w:iCs/>
          <w:sz w:val="22"/>
          <w:szCs w:val="22"/>
        </w:rPr>
      </w:pPr>
      <w:r>
        <w:rPr>
          <w:rFonts w:cstheme="minorHAnsi"/>
          <w:i/>
          <w:iCs/>
          <w:sz w:val="22"/>
          <w:szCs w:val="22"/>
        </w:rPr>
        <w:t>AV/IT Services</w:t>
      </w:r>
    </w:p>
    <w:p w14:paraId="759B72FC" w14:textId="39DD5E62" w:rsidR="00330BAF" w:rsidRDefault="00AA1F3C" w:rsidP="00AA1F3C">
      <w:pPr>
        <w:spacing w:before="80"/>
        <w:rPr>
          <w:rFonts w:cstheme="minorHAnsi"/>
          <w:sz w:val="22"/>
          <w:szCs w:val="22"/>
        </w:rPr>
      </w:pPr>
      <w:r>
        <w:rPr>
          <w:rFonts w:cstheme="minorHAnsi"/>
          <w:sz w:val="22"/>
          <w:szCs w:val="22"/>
        </w:rPr>
        <w:t xml:space="preserve">The BMC will agree on how AV/IT services are determined, </w:t>
      </w:r>
      <w:r w:rsidR="00EF3C03">
        <w:rPr>
          <w:rFonts w:cstheme="minorHAnsi"/>
          <w:sz w:val="22"/>
          <w:szCs w:val="22"/>
        </w:rPr>
        <w:t>provided,</w:t>
      </w:r>
      <w:r>
        <w:rPr>
          <w:rFonts w:cstheme="minorHAnsi"/>
          <w:sz w:val="22"/>
          <w:szCs w:val="22"/>
        </w:rPr>
        <w:t xml:space="preserve"> and funded in the commonly shared spaces, including classrooms and conference rooms.</w:t>
      </w:r>
    </w:p>
    <w:p w14:paraId="303F8D6A" w14:textId="77777777" w:rsidR="00AA1F3C" w:rsidRPr="00330BAF" w:rsidRDefault="00AA1F3C" w:rsidP="00EA556C">
      <w:pPr>
        <w:rPr>
          <w:rFonts w:cstheme="minorHAnsi"/>
          <w:sz w:val="22"/>
          <w:szCs w:val="22"/>
        </w:rPr>
      </w:pPr>
    </w:p>
    <w:p w14:paraId="684C425E" w14:textId="3B34D9FC" w:rsidR="00854262" w:rsidRPr="00395680" w:rsidRDefault="002B0280" w:rsidP="00EA556C">
      <w:pPr>
        <w:rPr>
          <w:rFonts w:cstheme="minorHAnsi"/>
          <w:i/>
          <w:iCs/>
          <w:sz w:val="22"/>
          <w:szCs w:val="22"/>
        </w:rPr>
      </w:pPr>
      <w:r w:rsidRPr="00395680">
        <w:rPr>
          <w:rFonts w:cstheme="minorHAnsi"/>
          <w:i/>
          <w:iCs/>
          <w:sz w:val="22"/>
          <w:szCs w:val="22"/>
        </w:rPr>
        <w:t>Cleaning</w:t>
      </w:r>
    </w:p>
    <w:p w14:paraId="2CE8EB96" w14:textId="1294B8D5" w:rsidR="00395680" w:rsidRDefault="188F6E86" w:rsidP="188F6E86">
      <w:pPr>
        <w:adjustRightInd w:val="0"/>
        <w:snapToGrid w:val="0"/>
        <w:spacing w:before="80"/>
        <w:rPr>
          <w:rFonts w:eastAsia="Times New Roman"/>
          <w:sz w:val="22"/>
          <w:szCs w:val="22"/>
        </w:rPr>
      </w:pPr>
      <w:r w:rsidRPr="188F6E86">
        <w:rPr>
          <w:rFonts w:eastAsia="Times New Roman"/>
          <w:sz w:val="22"/>
          <w:szCs w:val="22"/>
        </w:rPr>
        <w:t xml:space="preserve">The standard Cornell University cleaning level is level 2.5 as defined by the </w:t>
      </w:r>
      <w:hyperlink r:id="rId13">
        <w:r w:rsidRPr="188F6E86">
          <w:rPr>
            <w:rStyle w:val="Hyperlink"/>
            <w:sz w:val="22"/>
            <w:szCs w:val="22"/>
          </w:rPr>
          <w:t>Association of Physical Plant Administrators</w:t>
        </w:r>
      </w:hyperlink>
      <w:r w:rsidRPr="188F6E86">
        <w:rPr>
          <w:sz w:val="22"/>
          <w:szCs w:val="22"/>
        </w:rPr>
        <w:t xml:space="preserve"> (APPA).  </w:t>
      </w:r>
      <w:r w:rsidRPr="188F6E86">
        <w:rPr>
          <w:rFonts w:eastAsia="Times New Roman"/>
          <w:sz w:val="22"/>
          <w:szCs w:val="22"/>
        </w:rPr>
        <w:t>Building care costs associated with APPA level 2.5 cleaning are pro-rated across all building occupants based on assigned space in the FIS.</w:t>
      </w:r>
    </w:p>
    <w:p w14:paraId="0074D216" w14:textId="3203EB5D" w:rsidR="00854262" w:rsidRPr="001A76CA" w:rsidRDefault="00854262" w:rsidP="00395680">
      <w:pPr>
        <w:adjustRightInd w:val="0"/>
        <w:snapToGrid w:val="0"/>
        <w:spacing w:before="160"/>
        <w:rPr>
          <w:rFonts w:cstheme="minorHAnsi"/>
          <w:sz w:val="22"/>
          <w:szCs w:val="22"/>
        </w:rPr>
      </w:pPr>
      <w:r w:rsidRPr="001A76CA">
        <w:rPr>
          <w:rFonts w:eastAsia="Times New Roman" w:cstheme="minorHAnsi"/>
          <w:sz w:val="22"/>
          <w:szCs w:val="22"/>
        </w:rPr>
        <w:t xml:space="preserve">Any additional cleaning or service levels, including event support, may </w:t>
      </w:r>
      <w:r w:rsidR="00395680">
        <w:rPr>
          <w:rFonts w:eastAsia="Times New Roman" w:cstheme="minorHAnsi"/>
          <w:sz w:val="22"/>
          <w:szCs w:val="22"/>
        </w:rPr>
        <w:t>incur</w:t>
      </w:r>
      <w:r w:rsidRPr="001A76CA">
        <w:rPr>
          <w:rFonts w:eastAsia="Times New Roman" w:cstheme="minorHAnsi"/>
          <w:sz w:val="22"/>
          <w:szCs w:val="22"/>
        </w:rPr>
        <w:t xml:space="preserve"> additional costs, and these costs will be </w:t>
      </w:r>
      <w:r w:rsidR="00F8034C">
        <w:rPr>
          <w:rFonts w:eastAsia="Times New Roman" w:cstheme="minorHAnsi"/>
          <w:sz w:val="22"/>
          <w:szCs w:val="22"/>
        </w:rPr>
        <w:t>funded</w:t>
      </w:r>
      <w:r w:rsidRPr="001A76CA">
        <w:rPr>
          <w:rFonts w:eastAsia="Times New Roman" w:cstheme="minorHAnsi"/>
          <w:sz w:val="22"/>
          <w:szCs w:val="22"/>
        </w:rPr>
        <w:t xml:space="preserve"> by the unit requesting the additional services.</w:t>
      </w:r>
    </w:p>
    <w:p w14:paraId="1CAC4726" w14:textId="17BD672B" w:rsidR="00854262" w:rsidRPr="001A76CA" w:rsidRDefault="00854262" w:rsidP="00395680">
      <w:pPr>
        <w:adjustRightInd w:val="0"/>
        <w:snapToGrid w:val="0"/>
        <w:spacing w:before="160"/>
        <w:rPr>
          <w:rFonts w:eastAsia="Times New Roman" w:cstheme="minorHAnsi"/>
          <w:sz w:val="22"/>
          <w:szCs w:val="22"/>
        </w:rPr>
      </w:pPr>
      <w:r w:rsidRPr="001A76CA">
        <w:rPr>
          <w:rFonts w:eastAsia="Times New Roman" w:cstheme="minorHAnsi"/>
          <w:sz w:val="22"/>
          <w:szCs w:val="22"/>
        </w:rPr>
        <w:t>For special cleaning occasions (e.g.</w:t>
      </w:r>
      <w:r w:rsidR="00395680">
        <w:rPr>
          <w:rFonts w:eastAsia="Times New Roman" w:cstheme="minorHAnsi"/>
          <w:sz w:val="22"/>
          <w:szCs w:val="22"/>
        </w:rPr>
        <w:t xml:space="preserve">, </w:t>
      </w:r>
      <w:r w:rsidRPr="001A76CA">
        <w:rPr>
          <w:rFonts w:eastAsia="Times New Roman" w:cstheme="minorHAnsi"/>
          <w:sz w:val="22"/>
          <w:szCs w:val="22"/>
        </w:rPr>
        <w:t>accidents</w:t>
      </w:r>
      <w:r w:rsidR="00F8034C">
        <w:rPr>
          <w:rFonts w:eastAsia="Times New Roman" w:cstheme="minorHAnsi"/>
          <w:sz w:val="22"/>
          <w:szCs w:val="22"/>
        </w:rPr>
        <w:t>, such as rainwater flood mitigation</w:t>
      </w:r>
      <w:r w:rsidRPr="001A76CA">
        <w:rPr>
          <w:rFonts w:eastAsia="Times New Roman" w:cstheme="minorHAnsi"/>
          <w:sz w:val="22"/>
          <w:szCs w:val="22"/>
        </w:rPr>
        <w:t xml:space="preserve">), </w:t>
      </w:r>
      <w:r w:rsidR="00F8034C">
        <w:rPr>
          <w:rFonts w:eastAsia="Times New Roman" w:cstheme="minorHAnsi"/>
          <w:sz w:val="22"/>
          <w:szCs w:val="22"/>
        </w:rPr>
        <w:t>the space assignment</w:t>
      </w:r>
      <w:r w:rsidRPr="001A76CA">
        <w:rPr>
          <w:rFonts w:eastAsia="Times New Roman" w:cstheme="minorHAnsi"/>
          <w:sz w:val="22"/>
          <w:szCs w:val="22"/>
        </w:rPr>
        <w:t xml:space="preserve"> in FIS will </w:t>
      </w:r>
      <w:r w:rsidR="00F8034C">
        <w:rPr>
          <w:rFonts w:eastAsia="Times New Roman" w:cstheme="minorHAnsi"/>
          <w:sz w:val="22"/>
          <w:szCs w:val="22"/>
        </w:rPr>
        <w:t xml:space="preserve">determine the unit responsible for the costs.  </w:t>
      </w:r>
      <w:r w:rsidRPr="001A76CA">
        <w:rPr>
          <w:rFonts w:eastAsia="Times New Roman" w:cstheme="minorHAnsi"/>
          <w:sz w:val="22"/>
          <w:szCs w:val="22"/>
        </w:rPr>
        <w:t>If the additional cleaning needs are due to negligence (e.g.</w:t>
      </w:r>
      <w:r w:rsidR="00395680">
        <w:rPr>
          <w:rFonts w:eastAsia="Times New Roman" w:cstheme="minorHAnsi"/>
          <w:sz w:val="22"/>
          <w:szCs w:val="22"/>
        </w:rPr>
        <w:t>,</w:t>
      </w:r>
      <w:r w:rsidRPr="001A76CA">
        <w:rPr>
          <w:rFonts w:eastAsia="Times New Roman" w:cstheme="minorHAnsi"/>
          <w:sz w:val="22"/>
          <w:szCs w:val="22"/>
        </w:rPr>
        <w:t xml:space="preserve"> a broken sprinkler due to hanging items on the head), the </w:t>
      </w:r>
      <w:r w:rsidR="00F8034C">
        <w:rPr>
          <w:rFonts w:eastAsia="Times New Roman" w:cstheme="minorHAnsi"/>
          <w:sz w:val="22"/>
          <w:szCs w:val="22"/>
        </w:rPr>
        <w:t xml:space="preserve">financial </w:t>
      </w:r>
      <w:r w:rsidRPr="001A76CA">
        <w:rPr>
          <w:rFonts w:eastAsia="Times New Roman" w:cstheme="minorHAnsi"/>
          <w:sz w:val="22"/>
          <w:szCs w:val="22"/>
        </w:rPr>
        <w:t>responsibility would fall to the unit sponsoring the event.</w:t>
      </w:r>
    </w:p>
    <w:p w14:paraId="1756363A" w14:textId="77777777" w:rsidR="00854262" w:rsidRPr="001A76CA" w:rsidRDefault="00854262" w:rsidP="006C0B70">
      <w:pPr>
        <w:adjustRightInd w:val="0"/>
        <w:snapToGrid w:val="0"/>
        <w:rPr>
          <w:rFonts w:cstheme="minorHAnsi"/>
          <w:sz w:val="22"/>
          <w:szCs w:val="22"/>
        </w:rPr>
      </w:pPr>
    </w:p>
    <w:p w14:paraId="73E93D62" w14:textId="77777777" w:rsidR="00177F61" w:rsidRPr="00690495" w:rsidRDefault="00177F61" w:rsidP="00177F61">
      <w:pPr>
        <w:rPr>
          <w:rFonts w:cstheme="minorHAnsi"/>
          <w:i/>
          <w:iCs/>
          <w:sz w:val="22"/>
          <w:szCs w:val="22"/>
        </w:rPr>
      </w:pPr>
      <w:r w:rsidRPr="00690495">
        <w:rPr>
          <w:rFonts w:cstheme="minorHAnsi"/>
          <w:i/>
          <w:iCs/>
          <w:sz w:val="22"/>
          <w:szCs w:val="22"/>
        </w:rPr>
        <w:t>Furniture Standards</w:t>
      </w:r>
    </w:p>
    <w:p w14:paraId="55E4BBA8" w14:textId="77777777" w:rsidR="00177F61" w:rsidRPr="001A76CA" w:rsidRDefault="00177F61" w:rsidP="00177F61">
      <w:pPr>
        <w:spacing w:before="80"/>
        <w:rPr>
          <w:rFonts w:cstheme="minorHAnsi"/>
          <w:sz w:val="22"/>
          <w:szCs w:val="22"/>
        </w:rPr>
      </w:pPr>
      <w:r w:rsidRPr="001A76CA">
        <w:rPr>
          <w:rFonts w:cstheme="minorHAnsi"/>
          <w:sz w:val="22"/>
          <w:szCs w:val="22"/>
        </w:rPr>
        <w:t>Often new allocation of space to a College/School is for furnished space.  Some organizations have developed facility specific furniture standards for ease of budgeting, inventory, reconfiguration, and reuse.   If the unit who receives the new allocation of furnished space wishes to veer from the furniture standard in non-public or shared spaces, it is at the discretion of the unit, fully funded by the unit, and the existing furniture shall be returned to the previous organization.  If the furniture standard for shared and public spaces fails to meet the needs and expectations of facility occupants, a joint decision between facility occupants shall be made on the new furnishings and how the costs will be shared, and the existing furniture shall be returned to the previous organization.</w:t>
      </w:r>
    </w:p>
    <w:p w14:paraId="513AE2AA" w14:textId="4F5B1235" w:rsidR="00EF3C03" w:rsidRDefault="00EF3C03">
      <w:pPr>
        <w:rPr>
          <w:rFonts w:cstheme="minorHAnsi"/>
          <w:i/>
          <w:iCs/>
          <w:sz w:val="22"/>
          <w:szCs w:val="22"/>
        </w:rPr>
      </w:pPr>
    </w:p>
    <w:p w14:paraId="4B26E187" w14:textId="21ABA738" w:rsidR="002B0280" w:rsidRPr="00F8034C" w:rsidRDefault="002B0280" w:rsidP="006C0B70">
      <w:pPr>
        <w:adjustRightInd w:val="0"/>
        <w:snapToGrid w:val="0"/>
        <w:rPr>
          <w:rFonts w:cstheme="minorHAnsi"/>
          <w:i/>
          <w:iCs/>
          <w:sz w:val="22"/>
          <w:szCs w:val="22"/>
        </w:rPr>
      </w:pPr>
      <w:r w:rsidRPr="00F8034C">
        <w:rPr>
          <w:rFonts w:cstheme="minorHAnsi"/>
          <w:i/>
          <w:iCs/>
          <w:sz w:val="22"/>
          <w:szCs w:val="22"/>
        </w:rPr>
        <w:t xml:space="preserve">Maintenance </w:t>
      </w:r>
      <w:r w:rsidR="00F8034C">
        <w:rPr>
          <w:rFonts w:cstheme="minorHAnsi"/>
          <w:i/>
          <w:iCs/>
          <w:sz w:val="22"/>
          <w:szCs w:val="22"/>
        </w:rPr>
        <w:t>E</w:t>
      </w:r>
      <w:r w:rsidRPr="00F8034C">
        <w:rPr>
          <w:rFonts w:cstheme="minorHAnsi"/>
          <w:i/>
          <w:iCs/>
          <w:sz w:val="22"/>
          <w:szCs w:val="22"/>
        </w:rPr>
        <w:t xml:space="preserve">xpectations, </w:t>
      </w:r>
      <w:r w:rsidR="00F8034C">
        <w:rPr>
          <w:rFonts w:cstheme="minorHAnsi"/>
          <w:i/>
          <w:iCs/>
          <w:sz w:val="22"/>
          <w:szCs w:val="22"/>
        </w:rPr>
        <w:t>P</w:t>
      </w:r>
      <w:r w:rsidRPr="00F8034C">
        <w:rPr>
          <w:rFonts w:cstheme="minorHAnsi"/>
          <w:i/>
          <w:iCs/>
          <w:sz w:val="22"/>
          <w:szCs w:val="22"/>
        </w:rPr>
        <w:t xml:space="preserve">riorities &amp; </w:t>
      </w:r>
      <w:r w:rsidR="00DC0278">
        <w:rPr>
          <w:rFonts w:cstheme="minorHAnsi"/>
          <w:i/>
          <w:iCs/>
          <w:sz w:val="22"/>
          <w:szCs w:val="22"/>
        </w:rPr>
        <w:t>Funding</w:t>
      </w:r>
    </w:p>
    <w:p w14:paraId="333F0E5D" w14:textId="2795DB94" w:rsidR="00710819" w:rsidRDefault="00F8034C" w:rsidP="00DC0278">
      <w:pPr>
        <w:pStyle w:val="NormalWeb"/>
        <w:adjustRightInd w:val="0"/>
        <w:snapToGrid w:val="0"/>
        <w:spacing w:before="8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w:t>
      </w:r>
      <w:r w:rsidR="00080A7B">
        <w:rPr>
          <w:rFonts w:asciiTheme="minorHAnsi" w:hAnsiTheme="minorHAnsi" w:cstheme="minorHAnsi"/>
          <w:sz w:val="22"/>
          <w:szCs w:val="22"/>
        </w:rPr>
        <w:t>L</w:t>
      </w:r>
      <w:r>
        <w:rPr>
          <w:rFonts w:asciiTheme="minorHAnsi" w:hAnsiTheme="minorHAnsi" w:cstheme="minorHAnsi"/>
          <w:sz w:val="22"/>
          <w:szCs w:val="22"/>
        </w:rPr>
        <w:t xml:space="preserve">ead UFD is responsible for communicating maintenance needs to Facilities &amp; Campus </w:t>
      </w:r>
      <w:r w:rsidR="002C3054">
        <w:rPr>
          <w:rFonts w:asciiTheme="minorHAnsi" w:hAnsiTheme="minorHAnsi" w:cstheme="minorHAnsi"/>
          <w:sz w:val="22"/>
          <w:szCs w:val="22"/>
        </w:rPr>
        <w:t>Services and</w:t>
      </w:r>
      <w:r>
        <w:rPr>
          <w:rFonts w:asciiTheme="minorHAnsi" w:hAnsiTheme="minorHAnsi" w:cstheme="minorHAnsi"/>
          <w:sz w:val="22"/>
          <w:szCs w:val="22"/>
        </w:rPr>
        <w:t xml:space="preserve"> advocating for </w:t>
      </w:r>
      <w:r w:rsidR="00DC0278">
        <w:rPr>
          <w:rFonts w:asciiTheme="minorHAnsi" w:hAnsiTheme="minorHAnsi" w:cstheme="minorHAnsi"/>
          <w:sz w:val="22"/>
          <w:szCs w:val="22"/>
        </w:rPr>
        <w:t xml:space="preserve">centrally funded </w:t>
      </w:r>
      <w:r>
        <w:rPr>
          <w:rFonts w:asciiTheme="minorHAnsi" w:hAnsiTheme="minorHAnsi" w:cstheme="minorHAnsi"/>
          <w:sz w:val="22"/>
          <w:szCs w:val="22"/>
        </w:rPr>
        <w:t>planned maintenance projects that address deferred maintenance priorities of the building occupants.</w:t>
      </w:r>
    </w:p>
    <w:p w14:paraId="4CF80469" w14:textId="77777777" w:rsidR="00710819" w:rsidRDefault="00710819"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If an event is responsible for a new or increased maintenance expense, the sponsoring unit is responsible for the cost of repairs.</w:t>
      </w:r>
    </w:p>
    <w:p w14:paraId="0DB8AD7D" w14:textId="77777777" w:rsidR="00DC0278" w:rsidRDefault="00DC0278"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If a unit sponsors a project that must address a deferred maintenance condition, the unit is responsible for related costs.</w:t>
      </w:r>
    </w:p>
    <w:p w14:paraId="22235D6A" w14:textId="26D3DE55" w:rsidR="00DC0278" w:rsidRDefault="00DC0278" w:rsidP="00DC0278">
      <w:pPr>
        <w:pStyle w:val="NormalWeb"/>
        <w:adjustRightInd w:val="0"/>
        <w:snapToGrid w:val="0"/>
        <w:spacing w:before="160" w:beforeAutospacing="0" w:after="0" w:afterAutospacing="0"/>
        <w:rPr>
          <w:rFonts w:asciiTheme="minorHAnsi" w:hAnsiTheme="minorHAnsi" w:cstheme="minorHAnsi"/>
          <w:sz w:val="22"/>
          <w:szCs w:val="22"/>
        </w:rPr>
      </w:pPr>
      <w:r>
        <w:rPr>
          <w:rFonts w:asciiTheme="minorHAnsi" w:hAnsiTheme="minorHAnsi" w:cstheme="minorHAnsi"/>
          <w:sz w:val="22"/>
          <w:szCs w:val="22"/>
        </w:rPr>
        <w:t>Units are financially responsible for functional improvements and refurbishments, including finishes (painting, flooring), lighting, furniture, etc.</w:t>
      </w:r>
      <w:r w:rsidR="00080A7B">
        <w:rPr>
          <w:rFonts w:asciiTheme="minorHAnsi" w:hAnsiTheme="minorHAnsi" w:cstheme="minorHAnsi"/>
          <w:sz w:val="22"/>
          <w:szCs w:val="22"/>
        </w:rPr>
        <w:t xml:space="preserve"> based on FIS assignments, though these costs are encouraged to be socialized amongst building occupants for the commonly shared spaces.</w:t>
      </w:r>
    </w:p>
    <w:p w14:paraId="1B5567CF" w14:textId="77777777" w:rsidR="00CC5AC8" w:rsidRPr="001A76CA" w:rsidRDefault="00CC5AC8" w:rsidP="006C0B70">
      <w:pPr>
        <w:adjustRightInd w:val="0"/>
        <w:snapToGrid w:val="0"/>
        <w:rPr>
          <w:rFonts w:cstheme="minorHAnsi"/>
          <w:sz w:val="22"/>
          <w:szCs w:val="22"/>
        </w:rPr>
      </w:pPr>
    </w:p>
    <w:p w14:paraId="46B3B21E" w14:textId="77777777" w:rsidR="00893BB9" w:rsidRPr="00690495" w:rsidRDefault="00893BB9" w:rsidP="00893BB9">
      <w:pPr>
        <w:tabs>
          <w:tab w:val="left" w:pos="4507"/>
          <w:tab w:val="left" w:pos="8903"/>
        </w:tabs>
        <w:adjustRightInd w:val="0"/>
        <w:snapToGrid w:val="0"/>
        <w:rPr>
          <w:rFonts w:cstheme="minorHAnsi"/>
          <w:i/>
          <w:iCs/>
          <w:sz w:val="22"/>
          <w:szCs w:val="22"/>
        </w:rPr>
      </w:pPr>
      <w:r w:rsidRPr="00690495">
        <w:rPr>
          <w:rFonts w:cstheme="minorHAnsi"/>
          <w:i/>
          <w:iCs/>
          <w:sz w:val="22"/>
          <w:szCs w:val="22"/>
        </w:rPr>
        <w:lastRenderedPageBreak/>
        <w:t>Renovations</w:t>
      </w:r>
    </w:p>
    <w:p w14:paraId="76C50E93" w14:textId="0926D3C9" w:rsidR="00893BB9" w:rsidRPr="001A76CA" w:rsidRDefault="00893BB9" w:rsidP="00893BB9">
      <w:pPr>
        <w:spacing w:before="80"/>
        <w:rPr>
          <w:rFonts w:cstheme="minorHAnsi"/>
          <w:sz w:val="22"/>
          <w:szCs w:val="22"/>
        </w:rPr>
      </w:pPr>
      <w:r w:rsidRPr="001A76CA">
        <w:rPr>
          <w:rFonts w:cstheme="minorHAnsi"/>
          <w:sz w:val="22"/>
          <w:szCs w:val="22"/>
        </w:rPr>
        <w:t xml:space="preserve">Facility renovations </w:t>
      </w:r>
      <w:r w:rsidR="00055A2C">
        <w:rPr>
          <w:rFonts w:cstheme="minorHAnsi"/>
          <w:sz w:val="22"/>
          <w:szCs w:val="22"/>
        </w:rPr>
        <w:t xml:space="preserve">and refurbishments, </w:t>
      </w:r>
      <w:r w:rsidRPr="001A76CA">
        <w:rPr>
          <w:rFonts w:eastAsia="Times New Roman" w:cstheme="minorHAnsi"/>
          <w:sz w:val="22"/>
          <w:szCs w:val="22"/>
        </w:rPr>
        <w:t>both capital and non-capital</w:t>
      </w:r>
      <w:r w:rsidR="00055A2C">
        <w:rPr>
          <w:rFonts w:eastAsia="Times New Roman" w:cstheme="minorHAnsi"/>
          <w:sz w:val="22"/>
          <w:szCs w:val="22"/>
        </w:rPr>
        <w:t xml:space="preserve">, </w:t>
      </w:r>
      <w:r w:rsidRPr="001A76CA">
        <w:rPr>
          <w:rFonts w:cstheme="minorHAnsi"/>
          <w:sz w:val="22"/>
          <w:szCs w:val="22"/>
        </w:rPr>
        <w:t xml:space="preserve">are guided by </w:t>
      </w:r>
      <w:hyperlink r:id="rId14" w:history="1">
        <w:r w:rsidRPr="001A76CA">
          <w:rPr>
            <w:rStyle w:val="Hyperlink"/>
            <w:rFonts w:cstheme="minorHAnsi"/>
            <w:sz w:val="22"/>
            <w:szCs w:val="22"/>
          </w:rPr>
          <w:t>Facilities and Campus Services processes</w:t>
        </w:r>
      </w:hyperlink>
      <w:r w:rsidRPr="001A76CA">
        <w:rPr>
          <w:rFonts w:cstheme="minorHAnsi"/>
          <w:sz w:val="22"/>
          <w:szCs w:val="22"/>
        </w:rPr>
        <w:t xml:space="preserve"> and Cornell policies.  In shared academic buildings, the need for a renovation may be identified by a single unit, but how the needs are met shall be considered with attention to the stewardship of the facility.  In the case of capital projects, design is guided and reviewed at the University level, with programmatic input by the unit.  </w:t>
      </w:r>
      <w:r w:rsidR="00055A2C">
        <w:rPr>
          <w:rFonts w:cstheme="minorHAnsi"/>
          <w:sz w:val="22"/>
          <w:szCs w:val="22"/>
        </w:rPr>
        <w:t xml:space="preserve">The BMC may determine whether it is appropriate to have a subcommittee focused on design of a renovation, using criteria related to size of the renovation and impact on occupants.  This committee might include unit representatives including those relevant to specific functions of the space, e.g., </w:t>
      </w:r>
      <w:r w:rsidRPr="001A76CA">
        <w:rPr>
          <w:rFonts w:cstheme="minorHAnsi"/>
          <w:sz w:val="22"/>
          <w:szCs w:val="22"/>
        </w:rPr>
        <w:t>Registrar(s) if classrooms are implicated, Deans/Directors of Communications if public spaces are implicated, and Deans/Directors of AAD if named spaces are implicated.  The responsibilit</w:t>
      </w:r>
      <w:r w:rsidR="00260C60">
        <w:rPr>
          <w:rFonts w:cstheme="minorHAnsi"/>
          <w:sz w:val="22"/>
          <w:szCs w:val="22"/>
        </w:rPr>
        <w:t>ies</w:t>
      </w:r>
      <w:r w:rsidRPr="001A76CA">
        <w:rPr>
          <w:rFonts w:cstheme="minorHAnsi"/>
          <w:sz w:val="22"/>
          <w:szCs w:val="22"/>
        </w:rPr>
        <w:t xml:space="preserve"> of this </w:t>
      </w:r>
      <w:r w:rsidR="00260C60">
        <w:rPr>
          <w:rFonts w:cstheme="minorHAnsi"/>
          <w:sz w:val="22"/>
          <w:szCs w:val="22"/>
        </w:rPr>
        <w:t>sub</w:t>
      </w:r>
      <w:r w:rsidRPr="001A76CA">
        <w:rPr>
          <w:rFonts w:cstheme="minorHAnsi"/>
          <w:sz w:val="22"/>
          <w:szCs w:val="22"/>
        </w:rPr>
        <w:t xml:space="preserve">committee </w:t>
      </w:r>
      <w:r w:rsidR="00260C60">
        <w:rPr>
          <w:rFonts w:cstheme="minorHAnsi"/>
          <w:sz w:val="22"/>
          <w:szCs w:val="22"/>
        </w:rPr>
        <w:t>would be to inform decisions regarding the character of the design, how the renovation will address</w:t>
      </w:r>
      <w:r w:rsidRPr="001A76CA">
        <w:rPr>
          <w:rFonts w:cstheme="minorHAnsi"/>
          <w:sz w:val="22"/>
          <w:szCs w:val="22"/>
        </w:rPr>
        <w:t xml:space="preserve"> functional needs of the occupant programs, and </w:t>
      </w:r>
      <w:r w:rsidR="00260C60">
        <w:rPr>
          <w:rFonts w:cstheme="minorHAnsi"/>
          <w:sz w:val="22"/>
          <w:szCs w:val="22"/>
        </w:rPr>
        <w:t xml:space="preserve">evaluate implications for </w:t>
      </w:r>
      <w:r w:rsidRPr="001A76CA">
        <w:rPr>
          <w:rFonts w:cstheme="minorHAnsi"/>
          <w:sz w:val="22"/>
          <w:szCs w:val="22"/>
        </w:rPr>
        <w:t xml:space="preserve">future uses of the </w:t>
      </w:r>
      <w:r w:rsidR="00260C60">
        <w:rPr>
          <w:rFonts w:cstheme="minorHAnsi"/>
          <w:sz w:val="22"/>
          <w:szCs w:val="22"/>
        </w:rPr>
        <w:t>renovated and adjoining areas</w:t>
      </w:r>
      <w:r w:rsidRPr="001A76CA">
        <w:rPr>
          <w:rFonts w:cstheme="minorHAnsi"/>
          <w:sz w:val="22"/>
          <w:szCs w:val="22"/>
        </w:rPr>
        <w:t>.</w:t>
      </w:r>
    </w:p>
    <w:p w14:paraId="550196FE" w14:textId="77777777" w:rsidR="00893BB9" w:rsidRPr="00893BB9" w:rsidRDefault="00893BB9" w:rsidP="006C0B70">
      <w:pPr>
        <w:tabs>
          <w:tab w:val="left" w:pos="4507"/>
          <w:tab w:val="left" w:pos="8903"/>
        </w:tabs>
        <w:adjustRightInd w:val="0"/>
        <w:snapToGrid w:val="0"/>
        <w:rPr>
          <w:rFonts w:cstheme="minorHAnsi"/>
          <w:sz w:val="22"/>
          <w:szCs w:val="22"/>
        </w:rPr>
      </w:pPr>
    </w:p>
    <w:p w14:paraId="250B5529" w14:textId="00CD09E7" w:rsidR="00AA53D6" w:rsidRPr="00690495" w:rsidRDefault="00690495" w:rsidP="006C0B70">
      <w:pPr>
        <w:tabs>
          <w:tab w:val="left" w:pos="4507"/>
          <w:tab w:val="left" w:pos="8903"/>
        </w:tabs>
        <w:adjustRightInd w:val="0"/>
        <w:snapToGrid w:val="0"/>
        <w:rPr>
          <w:rFonts w:cstheme="minorHAnsi"/>
          <w:i/>
          <w:iCs/>
          <w:sz w:val="22"/>
          <w:szCs w:val="22"/>
        </w:rPr>
      </w:pPr>
      <w:r w:rsidRPr="00690495">
        <w:rPr>
          <w:rFonts w:cstheme="minorHAnsi"/>
          <w:i/>
          <w:iCs/>
          <w:sz w:val="22"/>
          <w:szCs w:val="22"/>
        </w:rPr>
        <w:t>Shared Costs</w:t>
      </w:r>
    </w:p>
    <w:p w14:paraId="4FD836EC" w14:textId="08876874" w:rsidR="00ED34D0" w:rsidRDefault="00690495" w:rsidP="00690495">
      <w:pPr>
        <w:spacing w:before="80"/>
        <w:rPr>
          <w:rFonts w:cstheme="minorHAnsi"/>
          <w:sz w:val="22"/>
          <w:szCs w:val="22"/>
        </w:rPr>
      </w:pPr>
      <w:r>
        <w:rPr>
          <w:rFonts w:cstheme="minorHAnsi"/>
          <w:sz w:val="22"/>
          <w:szCs w:val="22"/>
        </w:rPr>
        <w:t>The B</w:t>
      </w:r>
      <w:r w:rsidR="00080A7B">
        <w:rPr>
          <w:rFonts w:cstheme="minorHAnsi"/>
          <w:sz w:val="22"/>
          <w:szCs w:val="22"/>
        </w:rPr>
        <w:t>MC</w:t>
      </w:r>
      <w:r>
        <w:rPr>
          <w:rFonts w:cstheme="minorHAnsi"/>
          <w:sz w:val="22"/>
          <w:szCs w:val="22"/>
        </w:rPr>
        <w:t xml:space="preserve"> may wish to undertake projects with shared benefits to the building, such as signage improvements.   Costs may be prorated across units, most typically based on square footage allocations.  </w:t>
      </w:r>
      <w:r w:rsidR="00D81F7F">
        <w:rPr>
          <w:rFonts w:cstheme="minorHAnsi"/>
          <w:sz w:val="22"/>
          <w:szCs w:val="22"/>
        </w:rPr>
        <w:t>The type and amount of assignable square footage under the stewardship of FCS and CIT may need special consideration in a cos</w:t>
      </w:r>
      <w:r w:rsidR="00AD5FE9">
        <w:rPr>
          <w:rFonts w:cstheme="minorHAnsi"/>
          <w:sz w:val="22"/>
          <w:szCs w:val="22"/>
        </w:rPr>
        <w:t>t-sharing model, i.e., who are the beneficiaries?</w:t>
      </w:r>
    </w:p>
    <w:p w14:paraId="14404696" w14:textId="0B0D19B6" w:rsidR="00690495" w:rsidRDefault="00690495" w:rsidP="00080A7B">
      <w:pPr>
        <w:spacing w:before="160"/>
        <w:rPr>
          <w:rFonts w:cstheme="minorHAnsi"/>
          <w:sz w:val="22"/>
          <w:szCs w:val="22"/>
        </w:rPr>
      </w:pPr>
      <w:r>
        <w:rPr>
          <w:rFonts w:cstheme="minorHAnsi"/>
          <w:sz w:val="22"/>
          <w:szCs w:val="22"/>
        </w:rPr>
        <w:t>For space types that are assigned to one unit but used by many, such as classrooms and conference rooms, several methods may be used for determining a fair cost allocation</w:t>
      </w:r>
      <w:r w:rsidR="00080A7B">
        <w:rPr>
          <w:rFonts w:cstheme="minorHAnsi"/>
          <w:sz w:val="22"/>
          <w:szCs w:val="22"/>
        </w:rPr>
        <w:t xml:space="preserve"> for improvements</w:t>
      </w:r>
      <w:r>
        <w:rPr>
          <w:rFonts w:cstheme="minorHAnsi"/>
          <w:sz w:val="22"/>
          <w:szCs w:val="22"/>
        </w:rPr>
        <w:t xml:space="preserve">.  </w:t>
      </w:r>
      <w:r w:rsidR="00ED34D0" w:rsidRPr="001A76CA">
        <w:rPr>
          <w:rFonts w:cstheme="minorHAnsi"/>
          <w:sz w:val="22"/>
          <w:szCs w:val="22"/>
        </w:rPr>
        <w:t xml:space="preserve">Options include: </w:t>
      </w:r>
      <w:r w:rsidR="00080A7B">
        <w:rPr>
          <w:rFonts w:cstheme="minorHAnsi"/>
          <w:sz w:val="22"/>
          <w:szCs w:val="22"/>
        </w:rPr>
        <w:t xml:space="preserve"> FIS assigned</w:t>
      </w:r>
      <w:r w:rsidR="00ED34D0" w:rsidRPr="001A76CA">
        <w:rPr>
          <w:rFonts w:cstheme="minorHAnsi"/>
          <w:sz w:val="22"/>
          <w:szCs w:val="22"/>
        </w:rPr>
        <w:t xml:space="preserve"> unit covers all costs</w:t>
      </w:r>
      <w:r w:rsidR="00080A7B">
        <w:rPr>
          <w:rFonts w:cstheme="minorHAnsi"/>
          <w:sz w:val="22"/>
          <w:szCs w:val="22"/>
        </w:rPr>
        <w:t xml:space="preserve"> or</w:t>
      </w:r>
      <w:r w:rsidR="00ED34D0" w:rsidRPr="001A76CA">
        <w:rPr>
          <w:rFonts w:cstheme="minorHAnsi"/>
          <w:sz w:val="22"/>
          <w:szCs w:val="22"/>
        </w:rPr>
        <w:t xml:space="preserve"> units agree to sharing costs based upon</w:t>
      </w:r>
      <w:r w:rsidR="00080A7B">
        <w:rPr>
          <w:rFonts w:cstheme="minorHAnsi"/>
          <w:sz w:val="22"/>
          <w:szCs w:val="22"/>
        </w:rPr>
        <w:t xml:space="preserve"> </w:t>
      </w:r>
      <w:r w:rsidR="00ED34D0" w:rsidRPr="001A76CA">
        <w:rPr>
          <w:rFonts w:cstheme="minorHAnsi"/>
          <w:sz w:val="22"/>
          <w:szCs w:val="22"/>
        </w:rPr>
        <w:t>the relative % occupancy of the facility; the intended/expected % access/use of the space</w:t>
      </w:r>
      <w:r w:rsidR="00080A7B">
        <w:rPr>
          <w:rFonts w:cstheme="minorHAnsi"/>
          <w:sz w:val="22"/>
          <w:szCs w:val="22"/>
        </w:rPr>
        <w:t xml:space="preserve">, or the </w:t>
      </w:r>
      <w:r w:rsidR="00ED34D0" w:rsidRPr="001A76CA">
        <w:rPr>
          <w:rFonts w:cstheme="minorHAnsi"/>
          <w:sz w:val="22"/>
          <w:szCs w:val="22"/>
        </w:rPr>
        <w:t>relative % of student body or courses taught of the units.</w:t>
      </w:r>
      <w:r w:rsidR="00080A7B">
        <w:rPr>
          <w:rFonts w:cstheme="minorHAnsi"/>
          <w:sz w:val="22"/>
          <w:szCs w:val="22"/>
        </w:rPr>
        <w:t xml:space="preserve">  Costs may be shared for all improvements, or a subset of improvements (e.g., an AV upgrade, or new furnishings), based on decisions of the BMC.</w:t>
      </w:r>
    </w:p>
    <w:p w14:paraId="24B807F8" w14:textId="5792808B" w:rsidR="0022190B" w:rsidRDefault="0022190B" w:rsidP="00152F62">
      <w:pPr>
        <w:spacing w:before="160"/>
        <w:rPr>
          <w:rFonts w:eastAsia="Times New Roman" w:cstheme="minorHAnsi"/>
          <w:sz w:val="22"/>
          <w:szCs w:val="22"/>
        </w:rPr>
      </w:pPr>
      <w:r w:rsidRPr="001A76CA">
        <w:rPr>
          <w:rFonts w:cstheme="minorHAnsi"/>
          <w:sz w:val="22"/>
          <w:szCs w:val="22"/>
        </w:rPr>
        <w:t xml:space="preserve">The costs of </w:t>
      </w:r>
      <w:r w:rsidRPr="001A76CA">
        <w:rPr>
          <w:rFonts w:eastAsia="Times New Roman" w:cstheme="minorHAnsi"/>
          <w:sz w:val="22"/>
          <w:szCs w:val="22"/>
        </w:rPr>
        <w:t xml:space="preserve">renovations (having impact on the built environment) shall be fully funded by the requesting unit.  </w:t>
      </w:r>
    </w:p>
    <w:p w14:paraId="15B031A5" w14:textId="27FA5313" w:rsidR="00175B52" w:rsidRPr="001A76CA" w:rsidRDefault="00175B52" w:rsidP="00152F62">
      <w:pPr>
        <w:spacing w:before="160"/>
        <w:rPr>
          <w:rFonts w:eastAsia="Times New Roman" w:cstheme="minorHAnsi"/>
          <w:sz w:val="22"/>
          <w:szCs w:val="22"/>
        </w:rPr>
      </w:pPr>
      <w:r>
        <w:rPr>
          <w:rFonts w:eastAsia="Times New Roman" w:cstheme="minorHAnsi"/>
          <w:sz w:val="22"/>
          <w:szCs w:val="22"/>
        </w:rPr>
        <w:t>The BMC may also want to consider shared costs for other building services, functions, or roles, including the possibility of sharing costs for the Unit Facilities Director or other staff.</w:t>
      </w:r>
    </w:p>
    <w:p w14:paraId="27558377" w14:textId="77777777" w:rsidR="002E18EC" w:rsidRDefault="002E18EC" w:rsidP="006C0B70">
      <w:pPr>
        <w:adjustRightInd w:val="0"/>
        <w:snapToGrid w:val="0"/>
        <w:rPr>
          <w:rFonts w:cstheme="minorHAnsi"/>
          <w:sz w:val="22"/>
          <w:szCs w:val="22"/>
        </w:rPr>
      </w:pPr>
    </w:p>
    <w:p w14:paraId="7BE799CA" w14:textId="77777777" w:rsidR="007C080F" w:rsidRPr="001A76CA" w:rsidRDefault="007C080F" w:rsidP="007C080F">
      <w:pPr>
        <w:tabs>
          <w:tab w:val="left" w:pos="4507"/>
          <w:tab w:val="left" w:pos="8903"/>
        </w:tabs>
        <w:adjustRightInd w:val="0"/>
        <w:snapToGrid w:val="0"/>
        <w:jc w:val="center"/>
        <w:rPr>
          <w:rFonts w:cstheme="minorHAnsi"/>
          <w:sz w:val="22"/>
          <w:szCs w:val="22"/>
          <w:u w:val="single"/>
        </w:rPr>
      </w:pPr>
      <w:r>
        <w:rPr>
          <w:rFonts w:cstheme="minorHAnsi"/>
          <w:sz w:val="22"/>
          <w:szCs w:val="22"/>
          <w:u w:val="single"/>
        </w:rPr>
        <w:t>Term Agreements</w:t>
      </w:r>
    </w:p>
    <w:p w14:paraId="7F03DB68" w14:textId="77777777" w:rsidR="007C080F" w:rsidRPr="001A76CA" w:rsidRDefault="007C080F" w:rsidP="007C080F">
      <w:pPr>
        <w:tabs>
          <w:tab w:val="left" w:pos="4507"/>
          <w:tab w:val="left" w:pos="8903"/>
        </w:tabs>
        <w:adjustRightInd w:val="0"/>
        <w:snapToGrid w:val="0"/>
        <w:spacing w:before="80"/>
        <w:rPr>
          <w:rFonts w:cstheme="minorHAnsi"/>
          <w:sz w:val="22"/>
          <w:szCs w:val="22"/>
        </w:rPr>
      </w:pPr>
      <w:r>
        <w:rPr>
          <w:rFonts w:cstheme="minorHAnsi"/>
          <w:sz w:val="22"/>
          <w:szCs w:val="22"/>
        </w:rPr>
        <w:t xml:space="preserve">The occupants of academic buildings may host one or more term agreements for common circumstances, such as research centers, dining operations, or private use.  Such agreements should separately document specific terms such as start and end dates, accounting for space in the facilities inventory, costs and fees, etc. but should otherwise be consistent with and reference this </w:t>
      </w:r>
      <w:r w:rsidRPr="001A76CA">
        <w:rPr>
          <w:rFonts w:cstheme="minorHAnsi"/>
          <w:sz w:val="22"/>
          <w:szCs w:val="22"/>
        </w:rPr>
        <w:t>Shared Building Agreement</w:t>
      </w:r>
      <w:r>
        <w:rPr>
          <w:rFonts w:cstheme="minorHAnsi"/>
          <w:sz w:val="22"/>
          <w:szCs w:val="22"/>
        </w:rPr>
        <w:t>.</w:t>
      </w:r>
      <w:r w:rsidRPr="001A76CA">
        <w:rPr>
          <w:rFonts w:cstheme="minorHAnsi"/>
          <w:sz w:val="22"/>
          <w:szCs w:val="22"/>
        </w:rPr>
        <w:t xml:space="preserve"> </w:t>
      </w:r>
    </w:p>
    <w:p w14:paraId="52051CBE" w14:textId="77777777" w:rsidR="007C080F" w:rsidRPr="001A76CA" w:rsidRDefault="007C080F" w:rsidP="007C080F">
      <w:pPr>
        <w:tabs>
          <w:tab w:val="left" w:pos="4507"/>
          <w:tab w:val="left" w:pos="8903"/>
        </w:tabs>
        <w:adjustRightInd w:val="0"/>
        <w:snapToGrid w:val="0"/>
        <w:spacing w:before="160"/>
        <w:rPr>
          <w:rFonts w:cstheme="minorHAnsi"/>
          <w:sz w:val="22"/>
          <w:szCs w:val="22"/>
        </w:rPr>
      </w:pPr>
      <w:r>
        <w:rPr>
          <w:rFonts w:cstheme="minorHAnsi"/>
          <w:sz w:val="22"/>
          <w:szCs w:val="22"/>
        </w:rPr>
        <w:t>Term agreements associated with this building include:  [</w:t>
      </w:r>
      <w:r w:rsidRPr="007876BC">
        <w:rPr>
          <w:rFonts w:cstheme="minorHAnsi"/>
          <w:i/>
          <w:iCs/>
          <w:sz w:val="22"/>
          <w:szCs w:val="22"/>
        </w:rPr>
        <w:t>identify agreement partner, purpose, start and end date</w:t>
      </w:r>
      <w:r>
        <w:rPr>
          <w:rFonts w:cstheme="minorHAnsi"/>
          <w:sz w:val="22"/>
          <w:szCs w:val="22"/>
        </w:rPr>
        <w:t>]</w:t>
      </w:r>
    </w:p>
    <w:p w14:paraId="1B1D0FC0" w14:textId="77777777" w:rsidR="000F3E70" w:rsidRPr="00AD09B7" w:rsidRDefault="000F3E70" w:rsidP="00AD09B7">
      <w:pPr>
        <w:adjustRightInd w:val="0"/>
        <w:snapToGrid w:val="0"/>
        <w:rPr>
          <w:rFonts w:cstheme="minorHAnsi"/>
          <w:sz w:val="16"/>
          <w:szCs w:val="16"/>
        </w:rPr>
      </w:pPr>
    </w:p>
    <w:p w14:paraId="06AC0ABC" w14:textId="77777777" w:rsidR="009B768E" w:rsidRDefault="009B768E">
      <w:pPr>
        <w:rPr>
          <w:rFonts w:cstheme="minorHAnsi"/>
          <w:sz w:val="22"/>
          <w:szCs w:val="22"/>
          <w:u w:val="single"/>
        </w:rPr>
      </w:pPr>
      <w:r>
        <w:rPr>
          <w:rFonts w:cstheme="minorHAnsi"/>
          <w:sz w:val="22"/>
          <w:szCs w:val="22"/>
          <w:u w:val="single"/>
        </w:rPr>
        <w:br w:type="page"/>
      </w:r>
    </w:p>
    <w:p w14:paraId="4FB5046E" w14:textId="6CC96EC9" w:rsidR="001D429B" w:rsidRPr="001A76CA" w:rsidRDefault="001D429B" w:rsidP="00AD09B7">
      <w:pPr>
        <w:tabs>
          <w:tab w:val="left" w:pos="4507"/>
          <w:tab w:val="left" w:pos="8903"/>
        </w:tabs>
        <w:adjustRightInd w:val="0"/>
        <w:snapToGrid w:val="0"/>
        <w:jc w:val="center"/>
        <w:rPr>
          <w:rFonts w:cstheme="minorHAnsi"/>
          <w:sz w:val="22"/>
          <w:szCs w:val="22"/>
          <w:u w:val="single"/>
        </w:rPr>
      </w:pPr>
      <w:r>
        <w:rPr>
          <w:rFonts w:cstheme="minorHAnsi"/>
          <w:sz w:val="22"/>
          <w:szCs w:val="22"/>
          <w:u w:val="single"/>
        </w:rPr>
        <w:lastRenderedPageBreak/>
        <w:t>Recommended Appendic</w:t>
      </w:r>
      <w:r w:rsidR="004A5A5B">
        <w:rPr>
          <w:rFonts w:cstheme="minorHAnsi"/>
          <w:sz w:val="22"/>
          <w:szCs w:val="22"/>
          <w:u w:val="single"/>
        </w:rPr>
        <w:t>es</w:t>
      </w:r>
    </w:p>
    <w:p w14:paraId="1D5040F7" w14:textId="77777777" w:rsidR="00260C60" w:rsidRPr="00AD09B7" w:rsidRDefault="00260C60" w:rsidP="001D429B">
      <w:pPr>
        <w:adjustRightInd w:val="0"/>
        <w:snapToGrid w:val="0"/>
        <w:spacing w:before="80"/>
        <w:rPr>
          <w:rFonts w:cstheme="minorHAnsi"/>
          <w:sz w:val="10"/>
          <w:szCs w:val="10"/>
        </w:rPr>
      </w:pPr>
    </w:p>
    <w:tbl>
      <w:tblPr>
        <w:tblStyle w:val="TableGrid"/>
        <w:tblW w:w="9463" w:type="dxa"/>
        <w:tblLook w:val="04A0" w:firstRow="1" w:lastRow="0" w:firstColumn="1" w:lastColumn="0" w:noHBand="0" w:noVBand="1"/>
      </w:tblPr>
      <w:tblGrid>
        <w:gridCol w:w="4046"/>
        <w:gridCol w:w="5417"/>
      </w:tblGrid>
      <w:tr w:rsidR="004C678E" w:rsidRPr="00067F5A" w14:paraId="504E0E8F" w14:textId="77777777" w:rsidTr="00067F5A">
        <w:trPr>
          <w:cantSplit/>
          <w:tblHeader/>
        </w:trPr>
        <w:tc>
          <w:tcPr>
            <w:tcW w:w="4046" w:type="dxa"/>
          </w:tcPr>
          <w:p w14:paraId="3C702768" w14:textId="430EB083" w:rsidR="004C678E" w:rsidRPr="00067F5A" w:rsidRDefault="004C678E" w:rsidP="001D429B">
            <w:pPr>
              <w:adjustRightInd w:val="0"/>
              <w:snapToGrid w:val="0"/>
              <w:spacing w:before="80"/>
              <w:rPr>
                <w:rFonts w:cstheme="minorHAnsi"/>
                <w:b/>
                <w:bCs/>
                <w:sz w:val="22"/>
                <w:szCs w:val="22"/>
              </w:rPr>
            </w:pPr>
            <w:r w:rsidRPr="00067F5A">
              <w:rPr>
                <w:rFonts w:cstheme="minorHAnsi"/>
                <w:b/>
                <w:bCs/>
                <w:sz w:val="22"/>
                <w:szCs w:val="22"/>
              </w:rPr>
              <w:t>Recommended Appendix</w:t>
            </w:r>
          </w:p>
        </w:tc>
        <w:tc>
          <w:tcPr>
            <w:tcW w:w="5417" w:type="dxa"/>
          </w:tcPr>
          <w:p w14:paraId="35A49D78" w14:textId="1298BA61" w:rsidR="004C678E" w:rsidRPr="00067F5A" w:rsidRDefault="004C678E" w:rsidP="001D429B">
            <w:pPr>
              <w:adjustRightInd w:val="0"/>
              <w:snapToGrid w:val="0"/>
              <w:spacing w:before="80"/>
              <w:rPr>
                <w:rFonts w:cstheme="minorHAnsi"/>
                <w:b/>
                <w:bCs/>
                <w:sz w:val="22"/>
                <w:szCs w:val="22"/>
              </w:rPr>
            </w:pPr>
            <w:r w:rsidRPr="00067F5A">
              <w:rPr>
                <w:rFonts w:cstheme="minorHAnsi"/>
                <w:b/>
                <w:bCs/>
                <w:sz w:val="22"/>
                <w:szCs w:val="22"/>
              </w:rPr>
              <w:t>Includes</w:t>
            </w:r>
          </w:p>
        </w:tc>
      </w:tr>
      <w:tr w:rsidR="004C678E" w14:paraId="7436D7A4" w14:textId="77777777" w:rsidTr="00067F5A">
        <w:trPr>
          <w:cantSplit/>
        </w:trPr>
        <w:tc>
          <w:tcPr>
            <w:tcW w:w="4046" w:type="dxa"/>
          </w:tcPr>
          <w:p w14:paraId="5D916069" w14:textId="6398C856" w:rsidR="004C678E" w:rsidRDefault="004C678E" w:rsidP="001D429B">
            <w:pPr>
              <w:adjustRightInd w:val="0"/>
              <w:snapToGrid w:val="0"/>
              <w:spacing w:before="80"/>
              <w:rPr>
                <w:rFonts w:cstheme="minorHAnsi"/>
                <w:sz w:val="22"/>
                <w:szCs w:val="22"/>
              </w:rPr>
            </w:pPr>
            <w:r>
              <w:rPr>
                <w:rFonts w:cstheme="minorHAnsi"/>
                <w:sz w:val="22"/>
                <w:szCs w:val="22"/>
              </w:rPr>
              <w:t>Preferred Practices for Conference Rooms</w:t>
            </w:r>
          </w:p>
        </w:tc>
        <w:tc>
          <w:tcPr>
            <w:tcW w:w="5417" w:type="dxa"/>
          </w:tcPr>
          <w:p w14:paraId="48D6679E" w14:textId="77777777" w:rsidR="004C678E" w:rsidRDefault="004C678E" w:rsidP="001D429B">
            <w:pPr>
              <w:adjustRightInd w:val="0"/>
              <w:snapToGrid w:val="0"/>
              <w:spacing w:before="80"/>
              <w:rPr>
                <w:rFonts w:cstheme="minorHAnsi"/>
                <w:sz w:val="22"/>
                <w:szCs w:val="22"/>
              </w:rPr>
            </w:pPr>
            <w:r>
              <w:rPr>
                <w:rFonts w:cstheme="minorHAnsi"/>
                <w:i/>
                <w:iCs/>
                <w:sz w:val="22"/>
                <w:szCs w:val="22"/>
              </w:rPr>
              <w:t>L</w:t>
            </w:r>
            <w:r w:rsidRPr="001A76CA">
              <w:rPr>
                <w:rFonts w:cstheme="minorHAnsi"/>
                <w:i/>
                <w:iCs/>
                <w:sz w:val="22"/>
                <w:szCs w:val="22"/>
              </w:rPr>
              <w:t>ist of building conference rooms, w</w:t>
            </w:r>
            <w:r>
              <w:rPr>
                <w:rFonts w:cstheme="minorHAnsi"/>
                <w:i/>
                <w:iCs/>
                <w:sz w:val="22"/>
                <w:szCs w:val="22"/>
              </w:rPr>
              <w:t>ith s</w:t>
            </w:r>
            <w:r w:rsidRPr="001A76CA">
              <w:rPr>
                <w:rFonts w:cstheme="minorHAnsi"/>
                <w:i/>
                <w:iCs/>
                <w:sz w:val="22"/>
                <w:szCs w:val="22"/>
              </w:rPr>
              <w:t>cheduling method and point of contact for those that cannot be automatically scheduled through Outlook</w:t>
            </w:r>
            <w:r w:rsidRPr="001A76CA">
              <w:rPr>
                <w:rFonts w:cstheme="minorHAnsi"/>
                <w:sz w:val="22"/>
                <w:szCs w:val="22"/>
              </w:rPr>
              <w:t>]</w:t>
            </w:r>
          </w:p>
          <w:p w14:paraId="2D2C7B88" w14:textId="7533F37F" w:rsidR="004C678E" w:rsidRDefault="004C678E" w:rsidP="00260C60">
            <w:pPr>
              <w:spacing w:before="160"/>
              <w:rPr>
                <w:rFonts w:cstheme="minorHAnsi"/>
                <w:sz w:val="22"/>
                <w:szCs w:val="22"/>
              </w:rPr>
            </w:pPr>
            <w:r>
              <w:rPr>
                <w:rFonts w:cstheme="minorHAnsi"/>
                <w:sz w:val="22"/>
                <w:szCs w:val="22"/>
              </w:rPr>
              <w:t xml:space="preserve">Best practices, e.g., </w:t>
            </w:r>
            <w:r w:rsidRPr="001A76CA">
              <w:rPr>
                <w:rFonts w:cstheme="minorHAnsi"/>
                <w:sz w:val="22"/>
                <w:szCs w:val="22"/>
              </w:rPr>
              <w:t>Conference room users are responsible to leave rooms clean and functional after each meeting and/or event, and to report any issues to appropriate building maintenance personnel.</w:t>
            </w:r>
          </w:p>
        </w:tc>
      </w:tr>
      <w:tr w:rsidR="004C678E" w14:paraId="64F5B927" w14:textId="77777777" w:rsidTr="00067F5A">
        <w:trPr>
          <w:cantSplit/>
        </w:trPr>
        <w:tc>
          <w:tcPr>
            <w:tcW w:w="4046" w:type="dxa"/>
          </w:tcPr>
          <w:p w14:paraId="76FB9886" w14:textId="69D62EF3" w:rsidR="004C678E" w:rsidRDefault="004C678E" w:rsidP="001D429B">
            <w:pPr>
              <w:adjustRightInd w:val="0"/>
              <w:snapToGrid w:val="0"/>
              <w:spacing w:before="80"/>
              <w:rPr>
                <w:rFonts w:cstheme="minorHAnsi"/>
                <w:sz w:val="22"/>
                <w:szCs w:val="22"/>
              </w:rPr>
            </w:pPr>
            <w:r>
              <w:rPr>
                <w:rFonts w:cstheme="minorHAnsi"/>
                <w:sz w:val="22"/>
                <w:szCs w:val="22"/>
              </w:rPr>
              <w:t>Preferred Practices for Kitchenettes</w:t>
            </w:r>
          </w:p>
        </w:tc>
        <w:tc>
          <w:tcPr>
            <w:tcW w:w="5417" w:type="dxa"/>
          </w:tcPr>
          <w:p w14:paraId="3B6F563F" w14:textId="77777777" w:rsidR="004C678E" w:rsidRPr="004C678E" w:rsidRDefault="004C678E" w:rsidP="004C678E">
            <w:pPr>
              <w:pStyle w:val="ListParagraph"/>
              <w:numPr>
                <w:ilvl w:val="0"/>
                <w:numId w:val="22"/>
              </w:numPr>
              <w:ind w:left="348"/>
              <w:rPr>
                <w:rFonts w:cstheme="minorHAnsi"/>
                <w:sz w:val="22"/>
                <w:szCs w:val="22"/>
              </w:rPr>
            </w:pPr>
            <w:r w:rsidRPr="004C678E">
              <w:rPr>
                <w:rFonts w:cstheme="minorHAnsi"/>
                <w:sz w:val="22"/>
                <w:szCs w:val="22"/>
              </w:rPr>
              <w:t>List of building kitchenettes, with any notes regarding use or special circumstances</w:t>
            </w:r>
          </w:p>
          <w:p w14:paraId="2D1746BD" w14:textId="2B954F2A" w:rsidR="004C678E" w:rsidRPr="004C678E" w:rsidRDefault="004C678E" w:rsidP="004C678E">
            <w:pPr>
              <w:pStyle w:val="ListParagraph"/>
              <w:numPr>
                <w:ilvl w:val="0"/>
                <w:numId w:val="22"/>
              </w:numPr>
              <w:ind w:left="348"/>
              <w:rPr>
                <w:rFonts w:cstheme="minorHAnsi"/>
                <w:i/>
                <w:iCs/>
                <w:sz w:val="22"/>
                <w:szCs w:val="22"/>
              </w:rPr>
            </w:pPr>
            <w:r w:rsidRPr="004C678E">
              <w:rPr>
                <w:rFonts w:cstheme="minorHAnsi"/>
                <w:sz w:val="22"/>
                <w:szCs w:val="22"/>
              </w:rPr>
              <w:t>Best practices, e.g., Users of kitchenettes are expected to keep the space clean and functional and report any issues to appropriate building maintenance personnel.</w:t>
            </w:r>
          </w:p>
        </w:tc>
      </w:tr>
      <w:tr w:rsidR="004C678E" w14:paraId="66BBE0A1" w14:textId="77777777" w:rsidTr="00067F5A">
        <w:trPr>
          <w:cantSplit/>
        </w:trPr>
        <w:tc>
          <w:tcPr>
            <w:tcW w:w="4046" w:type="dxa"/>
          </w:tcPr>
          <w:p w14:paraId="41CD0547" w14:textId="7255089A" w:rsidR="004C678E" w:rsidRDefault="004C678E" w:rsidP="001D429B">
            <w:pPr>
              <w:adjustRightInd w:val="0"/>
              <w:snapToGrid w:val="0"/>
              <w:spacing w:before="80"/>
              <w:rPr>
                <w:rFonts w:cstheme="minorHAnsi"/>
                <w:sz w:val="22"/>
                <w:szCs w:val="22"/>
              </w:rPr>
            </w:pPr>
            <w:r>
              <w:rPr>
                <w:rFonts w:cstheme="minorHAnsi"/>
                <w:sz w:val="22"/>
                <w:szCs w:val="22"/>
              </w:rPr>
              <w:t>Classroom Management Strategy</w:t>
            </w:r>
          </w:p>
        </w:tc>
        <w:tc>
          <w:tcPr>
            <w:tcW w:w="5417" w:type="dxa"/>
          </w:tcPr>
          <w:p w14:paraId="0C2786B9" w14:textId="6D2C236D" w:rsidR="004C678E" w:rsidRPr="004C678E" w:rsidRDefault="004C678E" w:rsidP="004C678E">
            <w:pPr>
              <w:pStyle w:val="ListParagraph"/>
              <w:numPr>
                <w:ilvl w:val="0"/>
                <w:numId w:val="23"/>
              </w:numPr>
              <w:adjustRightInd w:val="0"/>
              <w:snapToGrid w:val="0"/>
              <w:spacing w:before="80"/>
              <w:ind w:left="348"/>
              <w:rPr>
                <w:rFonts w:cstheme="minorHAnsi"/>
                <w:sz w:val="22"/>
                <w:szCs w:val="22"/>
              </w:rPr>
            </w:pPr>
            <w:r w:rsidRPr="004C678E">
              <w:rPr>
                <w:rFonts w:cstheme="minorHAnsi"/>
                <w:sz w:val="22"/>
                <w:szCs w:val="22"/>
              </w:rPr>
              <w:t xml:space="preserve">List of </w:t>
            </w:r>
            <w:r w:rsidR="00EF3C03" w:rsidRPr="004C678E">
              <w:rPr>
                <w:rFonts w:cstheme="minorHAnsi"/>
                <w:sz w:val="22"/>
                <w:szCs w:val="22"/>
              </w:rPr>
              <w:t>general-purpose</w:t>
            </w:r>
            <w:r w:rsidRPr="004C678E">
              <w:rPr>
                <w:rFonts w:cstheme="minorHAnsi"/>
                <w:sz w:val="22"/>
                <w:szCs w:val="22"/>
              </w:rPr>
              <w:t xml:space="preserve"> classrooms, including scheduling contacts</w:t>
            </w:r>
          </w:p>
          <w:p w14:paraId="2D10D1C1" w14:textId="77777777" w:rsidR="004C678E" w:rsidRPr="004C678E" w:rsidRDefault="004C678E" w:rsidP="004C678E">
            <w:pPr>
              <w:pStyle w:val="ListParagraph"/>
              <w:numPr>
                <w:ilvl w:val="0"/>
                <w:numId w:val="23"/>
              </w:numPr>
              <w:adjustRightInd w:val="0"/>
              <w:snapToGrid w:val="0"/>
              <w:spacing w:before="80"/>
              <w:ind w:left="348"/>
              <w:rPr>
                <w:rFonts w:cstheme="minorHAnsi"/>
                <w:sz w:val="22"/>
                <w:szCs w:val="22"/>
              </w:rPr>
            </w:pPr>
            <w:r w:rsidRPr="004C678E">
              <w:rPr>
                <w:rFonts w:cstheme="minorHAnsi"/>
                <w:sz w:val="22"/>
                <w:szCs w:val="22"/>
              </w:rPr>
              <w:t>Considerations for:</w:t>
            </w:r>
          </w:p>
          <w:p w14:paraId="15F83E51" w14:textId="201A53E2"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inventorying – will classrooms be shared in the FIS or solely assigned to one unit?</w:t>
            </w:r>
          </w:p>
          <w:p w14:paraId="18B7E350" w14:textId="77777777"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funding IT/AV Support</w:t>
            </w:r>
          </w:p>
          <w:p w14:paraId="71505526" w14:textId="45705B09" w:rsidR="004C678E" w:rsidRPr="004C678E" w:rsidRDefault="004C678E" w:rsidP="004C678E">
            <w:pPr>
              <w:pStyle w:val="ListParagraph"/>
              <w:numPr>
                <w:ilvl w:val="0"/>
                <w:numId w:val="24"/>
              </w:numPr>
              <w:adjustRightInd w:val="0"/>
              <w:snapToGrid w:val="0"/>
              <w:rPr>
                <w:rFonts w:cstheme="minorHAnsi"/>
                <w:sz w:val="22"/>
                <w:szCs w:val="22"/>
              </w:rPr>
            </w:pPr>
            <w:r w:rsidRPr="004C678E">
              <w:rPr>
                <w:rFonts w:cstheme="minorHAnsi"/>
                <w:sz w:val="22"/>
                <w:szCs w:val="22"/>
              </w:rPr>
              <w:t>funding improvements</w:t>
            </w:r>
          </w:p>
        </w:tc>
      </w:tr>
      <w:tr w:rsidR="004C678E" w14:paraId="49667ADF" w14:textId="77777777" w:rsidTr="00067F5A">
        <w:trPr>
          <w:cantSplit/>
        </w:trPr>
        <w:tc>
          <w:tcPr>
            <w:tcW w:w="4046" w:type="dxa"/>
          </w:tcPr>
          <w:p w14:paraId="50A57646" w14:textId="1274B451" w:rsidR="004C678E" w:rsidRDefault="004C678E" w:rsidP="001D429B">
            <w:pPr>
              <w:adjustRightInd w:val="0"/>
              <w:snapToGrid w:val="0"/>
              <w:spacing w:before="80"/>
              <w:rPr>
                <w:rFonts w:cstheme="minorHAnsi"/>
                <w:sz w:val="22"/>
                <w:szCs w:val="22"/>
              </w:rPr>
            </w:pPr>
            <w:r>
              <w:rPr>
                <w:rFonts w:cstheme="minorHAnsi"/>
                <w:sz w:val="22"/>
                <w:szCs w:val="22"/>
              </w:rPr>
              <w:t>Event Space Management</w:t>
            </w:r>
          </w:p>
        </w:tc>
        <w:tc>
          <w:tcPr>
            <w:tcW w:w="5417" w:type="dxa"/>
          </w:tcPr>
          <w:p w14:paraId="75C35180" w14:textId="26C8D19F" w:rsidR="004C678E" w:rsidRPr="004C678E" w:rsidRDefault="004C678E" w:rsidP="004C678E">
            <w:pPr>
              <w:pStyle w:val="ListParagraph"/>
              <w:numPr>
                <w:ilvl w:val="0"/>
                <w:numId w:val="26"/>
              </w:numPr>
              <w:ind w:left="348"/>
              <w:rPr>
                <w:rFonts w:cstheme="minorHAnsi"/>
                <w:sz w:val="22"/>
                <w:szCs w:val="22"/>
              </w:rPr>
            </w:pPr>
            <w:r w:rsidRPr="004C678E">
              <w:rPr>
                <w:rFonts w:cstheme="minorHAnsi"/>
                <w:sz w:val="22"/>
                <w:szCs w:val="22"/>
              </w:rPr>
              <w:t xml:space="preserve">List of requestable event spaces, point of contact, reservation system/method (typically 25Live to manage risk per </w:t>
            </w:r>
            <w:hyperlink r:id="rId15" w:history="1">
              <w:r w:rsidRPr="004C678E">
                <w:rPr>
                  <w:rStyle w:val="Hyperlink"/>
                  <w:rFonts w:cstheme="minorHAnsi"/>
                  <w:sz w:val="22"/>
                  <w:szCs w:val="22"/>
                </w:rPr>
                <w:t>policy</w:t>
              </w:r>
            </w:hyperlink>
            <w:r w:rsidRPr="004C678E">
              <w:rPr>
                <w:rFonts w:cstheme="minorHAnsi"/>
                <w:sz w:val="22"/>
                <w:szCs w:val="22"/>
              </w:rPr>
              <w:t>)</w:t>
            </w:r>
          </w:p>
          <w:p w14:paraId="6FB8F181" w14:textId="77777777"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For outdoor spaces, requirements for tent policies, permits, etc.</w:t>
            </w:r>
          </w:p>
          <w:p w14:paraId="2840FD27" w14:textId="77777777" w:rsid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Funding expectations, e.g.,</w:t>
            </w:r>
          </w:p>
          <w:p w14:paraId="64692FF7" w14:textId="603C84C0" w:rsidR="004C678E" w:rsidRDefault="004C678E" w:rsidP="004C678E">
            <w:pPr>
              <w:pStyle w:val="ListParagraph"/>
              <w:numPr>
                <w:ilvl w:val="1"/>
                <w:numId w:val="26"/>
              </w:numPr>
              <w:adjustRightInd w:val="0"/>
              <w:snapToGrid w:val="0"/>
              <w:spacing w:before="80"/>
              <w:ind w:left="708"/>
              <w:rPr>
                <w:rFonts w:cstheme="minorHAnsi"/>
                <w:sz w:val="22"/>
                <w:szCs w:val="22"/>
              </w:rPr>
            </w:pPr>
            <w:r w:rsidRPr="004C678E">
              <w:rPr>
                <w:rFonts w:cstheme="minorHAnsi"/>
                <w:sz w:val="22"/>
                <w:szCs w:val="22"/>
              </w:rPr>
              <w:t>Costs related to events, including but not limited to cleanup, setup and breakdown and A/V support, will be covered by the unit hosting the event.</w:t>
            </w:r>
          </w:p>
          <w:p w14:paraId="64A7E1EA" w14:textId="53C05614" w:rsidR="004C678E" w:rsidRPr="004C678E" w:rsidRDefault="004C678E" w:rsidP="004C678E">
            <w:pPr>
              <w:pStyle w:val="ListParagraph"/>
              <w:numPr>
                <w:ilvl w:val="1"/>
                <w:numId w:val="26"/>
              </w:numPr>
              <w:adjustRightInd w:val="0"/>
              <w:snapToGrid w:val="0"/>
              <w:spacing w:before="80"/>
              <w:ind w:left="708"/>
              <w:rPr>
                <w:rFonts w:cstheme="minorHAnsi"/>
                <w:sz w:val="22"/>
                <w:szCs w:val="22"/>
              </w:rPr>
            </w:pPr>
            <w:r>
              <w:rPr>
                <w:rFonts w:cstheme="minorHAnsi"/>
                <w:sz w:val="22"/>
                <w:szCs w:val="22"/>
              </w:rPr>
              <w:t>Improvements</w:t>
            </w:r>
          </w:p>
          <w:p w14:paraId="3545F2D9" w14:textId="5C5487EE"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 xml:space="preserve">Fee setting, including lead for </w:t>
            </w:r>
            <w:hyperlink r:id="rId16" w:history="1">
              <w:r w:rsidRPr="004C678E">
                <w:rPr>
                  <w:rStyle w:val="Hyperlink"/>
                  <w:rFonts w:cstheme="minorHAnsi"/>
                  <w:sz w:val="22"/>
                  <w:szCs w:val="22"/>
                </w:rPr>
                <w:t>University process</w:t>
              </w:r>
            </w:hyperlink>
            <w:r w:rsidRPr="004C678E">
              <w:rPr>
                <w:rFonts w:cstheme="minorHAnsi"/>
                <w:sz w:val="22"/>
                <w:szCs w:val="22"/>
              </w:rPr>
              <w:t xml:space="preserve"> to assess fees for internal users, fees for external users, and distribution of recovered fees</w:t>
            </w:r>
            <w:r w:rsidR="00EF3C03">
              <w:rPr>
                <w:rFonts w:cstheme="minorHAnsi"/>
                <w:sz w:val="22"/>
                <w:szCs w:val="22"/>
              </w:rPr>
              <w:t>.</w:t>
            </w:r>
          </w:p>
          <w:p w14:paraId="76B749F2" w14:textId="5B0AEB7B" w:rsidR="004C678E" w:rsidRPr="004C678E" w:rsidRDefault="004C678E" w:rsidP="004C678E">
            <w:pPr>
              <w:pStyle w:val="ListParagraph"/>
              <w:numPr>
                <w:ilvl w:val="0"/>
                <w:numId w:val="26"/>
              </w:numPr>
              <w:adjustRightInd w:val="0"/>
              <w:snapToGrid w:val="0"/>
              <w:spacing w:before="80"/>
              <w:ind w:left="348"/>
              <w:rPr>
                <w:rFonts w:cstheme="minorHAnsi"/>
                <w:sz w:val="22"/>
                <w:szCs w:val="22"/>
              </w:rPr>
            </w:pPr>
            <w:r w:rsidRPr="004C678E">
              <w:rPr>
                <w:rFonts w:cstheme="minorHAnsi"/>
                <w:sz w:val="22"/>
                <w:szCs w:val="22"/>
              </w:rPr>
              <w:t>Best practices, e.g., Event spaces must always be returned to the default room arrangement after use.</w:t>
            </w:r>
          </w:p>
        </w:tc>
      </w:tr>
      <w:tr w:rsidR="004C678E" w14:paraId="7D83C6D0" w14:textId="77777777" w:rsidTr="00067F5A">
        <w:trPr>
          <w:cantSplit/>
        </w:trPr>
        <w:tc>
          <w:tcPr>
            <w:tcW w:w="4046" w:type="dxa"/>
          </w:tcPr>
          <w:p w14:paraId="7B84A5FC" w14:textId="74421839" w:rsidR="004C678E" w:rsidRDefault="00E76CEE" w:rsidP="00E76CEE">
            <w:pPr>
              <w:tabs>
                <w:tab w:val="left" w:pos="4507"/>
                <w:tab w:val="left" w:pos="8903"/>
              </w:tabs>
              <w:adjustRightInd w:val="0"/>
              <w:snapToGrid w:val="0"/>
              <w:spacing w:before="80"/>
              <w:rPr>
                <w:rFonts w:cstheme="minorHAnsi"/>
                <w:sz w:val="22"/>
                <w:szCs w:val="22"/>
              </w:rPr>
            </w:pPr>
            <w:r>
              <w:rPr>
                <w:rFonts w:cstheme="minorHAnsi"/>
                <w:sz w:val="22"/>
                <w:szCs w:val="22"/>
              </w:rPr>
              <w:t>Building Hours Temporary Change Request Procedure</w:t>
            </w:r>
          </w:p>
        </w:tc>
        <w:tc>
          <w:tcPr>
            <w:tcW w:w="5417" w:type="dxa"/>
          </w:tcPr>
          <w:p w14:paraId="7ABA34D2" w14:textId="77777777" w:rsidR="00E76CE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Acceptable reasons to temporarily change building hours</w:t>
            </w:r>
          </w:p>
          <w:p w14:paraId="1B0F8955" w14:textId="151C5374" w:rsidR="004C678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Contacts and workflow</w:t>
            </w:r>
          </w:p>
          <w:p w14:paraId="2AE0A0BF" w14:textId="238A3ADB" w:rsidR="00E76CEE" w:rsidRPr="00E76CEE" w:rsidRDefault="00E76CEE" w:rsidP="00E76CEE">
            <w:pPr>
              <w:pStyle w:val="ListParagraph"/>
              <w:numPr>
                <w:ilvl w:val="0"/>
                <w:numId w:val="27"/>
              </w:numPr>
              <w:adjustRightInd w:val="0"/>
              <w:snapToGrid w:val="0"/>
              <w:spacing w:before="80"/>
              <w:ind w:left="348"/>
              <w:rPr>
                <w:rFonts w:cstheme="minorHAnsi"/>
                <w:sz w:val="22"/>
                <w:szCs w:val="22"/>
              </w:rPr>
            </w:pPr>
            <w:r w:rsidRPr="00E76CEE">
              <w:rPr>
                <w:rFonts w:cstheme="minorHAnsi"/>
                <w:sz w:val="22"/>
                <w:szCs w:val="22"/>
              </w:rPr>
              <w:t>Required interval of advance notice</w:t>
            </w:r>
          </w:p>
        </w:tc>
      </w:tr>
    </w:tbl>
    <w:p w14:paraId="0007528B" w14:textId="54895885" w:rsidR="00A84E0F" w:rsidRPr="00AD09B7" w:rsidRDefault="00A84E0F" w:rsidP="001D429B">
      <w:pPr>
        <w:adjustRightInd w:val="0"/>
        <w:snapToGrid w:val="0"/>
        <w:spacing w:before="80"/>
        <w:rPr>
          <w:rFonts w:cstheme="minorHAnsi"/>
          <w:sz w:val="10"/>
          <w:szCs w:val="10"/>
        </w:rPr>
      </w:pPr>
    </w:p>
    <w:sectPr w:rsidR="00A84E0F" w:rsidRPr="00AD09B7" w:rsidSect="00410A94">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D9568" w14:textId="77777777" w:rsidR="008B5DB7" w:rsidRDefault="008B5DB7" w:rsidP="00410A94">
      <w:r>
        <w:separator/>
      </w:r>
    </w:p>
  </w:endnote>
  <w:endnote w:type="continuationSeparator" w:id="0">
    <w:p w14:paraId="65EBD241" w14:textId="77777777" w:rsidR="008B5DB7" w:rsidRDefault="008B5DB7" w:rsidP="0041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5E45A" w14:textId="7E91B1A5" w:rsidR="00410A94" w:rsidRPr="00A271C6" w:rsidRDefault="00410A94" w:rsidP="00410A94">
    <w:pPr>
      <w:tabs>
        <w:tab w:val="right" w:pos="9360"/>
      </w:tabs>
      <w:adjustRightInd w:val="0"/>
      <w:snapToGrid w:val="0"/>
      <w:rPr>
        <w:rFonts w:cstheme="minorHAnsi"/>
        <w:i/>
        <w:iCs/>
        <w:color w:val="FF0000"/>
        <w:sz w:val="18"/>
        <w:szCs w:val="18"/>
      </w:rPr>
    </w:pPr>
    <w:r w:rsidRPr="00A271C6">
      <w:rPr>
        <w:rFonts w:cstheme="minorHAnsi"/>
        <w:i/>
        <w:iCs/>
        <w:sz w:val="18"/>
        <w:szCs w:val="18"/>
      </w:rPr>
      <w:t>Shared Academic Buildings – Standard Agreement Template</w:t>
    </w:r>
    <w:r w:rsidR="00FA663B" w:rsidRPr="00A271C6">
      <w:rPr>
        <w:rFonts w:cstheme="minorHAnsi"/>
        <w:i/>
        <w:iCs/>
        <w:sz w:val="18"/>
        <w:szCs w:val="18"/>
      </w:rPr>
      <w:t xml:space="preserve">; </w:t>
    </w:r>
    <w:r w:rsidRPr="00A271C6">
      <w:rPr>
        <w:rFonts w:cstheme="minorHAnsi"/>
        <w:i/>
        <w:iCs/>
        <w:sz w:val="18"/>
        <w:szCs w:val="18"/>
      </w:rPr>
      <w:t xml:space="preserve">v. </w:t>
    </w:r>
    <w:r w:rsidR="001C70C5">
      <w:rPr>
        <w:rFonts w:cstheme="minorHAnsi"/>
        <w:i/>
        <w:iCs/>
        <w:sz w:val="18"/>
        <w:szCs w:val="18"/>
      </w:rPr>
      <w:t>July</w:t>
    </w:r>
    <w:r w:rsidRPr="00A271C6">
      <w:rPr>
        <w:rFonts w:cstheme="minorHAnsi"/>
        <w:i/>
        <w:iCs/>
        <w:sz w:val="18"/>
        <w:szCs w:val="18"/>
      </w:rPr>
      <w:t xml:space="preserve"> 202</w:t>
    </w:r>
    <w:r w:rsidR="001C70C5">
      <w:rPr>
        <w:rFonts w:cstheme="minorHAnsi"/>
        <w:i/>
        <w:iCs/>
        <w:sz w:val="18"/>
        <w:szCs w:val="18"/>
      </w:rPr>
      <w:t>5</w:t>
    </w:r>
    <w:r w:rsidRPr="00A271C6">
      <w:rPr>
        <w:rFonts w:cstheme="minorHAnsi"/>
        <w:i/>
        <w:iCs/>
        <w:sz w:val="18"/>
        <w:szCs w:val="18"/>
      </w:rPr>
      <w:tab/>
      <w:t xml:space="preserve">Page </w:t>
    </w:r>
    <w:r w:rsidRPr="00A271C6">
      <w:rPr>
        <w:rFonts w:cstheme="minorHAnsi"/>
        <w:i/>
        <w:iCs/>
        <w:sz w:val="18"/>
        <w:szCs w:val="18"/>
      </w:rPr>
      <w:fldChar w:fldCharType="begin"/>
    </w:r>
    <w:r w:rsidRPr="00A271C6">
      <w:rPr>
        <w:rFonts w:cstheme="minorHAnsi"/>
        <w:i/>
        <w:iCs/>
        <w:sz w:val="18"/>
        <w:szCs w:val="18"/>
      </w:rPr>
      <w:instrText xml:space="preserve"> PAGE </w:instrText>
    </w:r>
    <w:r w:rsidRPr="00A271C6">
      <w:rPr>
        <w:rFonts w:cstheme="minorHAnsi"/>
        <w:i/>
        <w:iCs/>
        <w:sz w:val="18"/>
        <w:szCs w:val="18"/>
      </w:rPr>
      <w:fldChar w:fldCharType="separate"/>
    </w:r>
    <w:r w:rsidRPr="00A271C6">
      <w:rPr>
        <w:rFonts w:cstheme="minorHAnsi"/>
        <w:i/>
        <w:iCs/>
        <w:noProof/>
        <w:sz w:val="18"/>
        <w:szCs w:val="18"/>
      </w:rPr>
      <w:t>2</w:t>
    </w:r>
    <w:r w:rsidRPr="00A271C6">
      <w:rPr>
        <w:rFonts w:cstheme="minorHAnsi"/>
        <w:i/>
        <w:iCs/>
        <w:sz w:val="18"/>
        <w:szCs w:val="18"/>
      </w:rPr>
      <w:fldChar w:fldCharType="end"/>
    </w:r>
    <w:r w:rsidRPr="00A271C6">
      <w:rPr>
        <w:rFonts w:cstheme="minorHAnsi"/>
        <w:i/>
        <w:iCs/>
        <w:sz w:val="18"/>
        <w:szCs w:val="18"/>
      </w:rPr>
      <w:t xml:space="preserve"> of </w:t>
    </w:r>
    <w:r w:rsidRPr="00A271C6">
      <w:rPr>
        <w:rFonts w:cstheme="minorHAnsi"/>
        <w:i/>
        <w:iCs/>
        <w:sz w:val="18"/>
        <w:szCs w:val="18"/>
      </w:rPr>
      <w:fldChar w:fldCharType="begin"/>
    </w:r>
    <w:r w:rsidRPr="00A271C6">
      <w:rPr>
        <w:rFonts w:cstheme="minorHAnsi"/>
        <w:i/>
        <w:iCs/>
        <w:sz w:val="18"/>
        <w:szCs w:val="18"/>
      </w:rPr>
      <w:instrText xml:space="preserve"> NUMPAGES </w:instrText>
    </w:r>
    <w:r w:rsidRPr="00A271C6">
      <w:rPr>
        <w:rFonts w:cstheme="minorHAnsi"/>
        <w:i/>
        <w:iCs/>
        <w:sz w:val="18"/>
        <w:szCs w:val="18"/>
      </w:rPr>
      <w:fldChar w:fldCharType="separate"/>
    </w:r>
    <w:r w:rsidRPr="00A271C6">
      <w:rPr>
        <w:rFonts w:cstheme="minorHAnsi"/>
        <w:i/>
        <w:iCs/>
        <w:noProof/>
        <w:sz w:val="18"/>
        <w:szCs w:val="18"/>
      </w:rPr>
      <w:t>9</w:t>
    </w:r>
    <w:r w:rsidRPr="00A271C6">
      <w:rPr>
        <w:rFonts w:cstheme="minorHAnsi"/>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41E35" w14:textId="005BD04E" w:rsidR="00A271C6" w:rsidRPr="007E4A35" w:rsidRDefault="007E4A35">
    <w:pPr>
      <w:pStyle w:val="Footer"/>
      <w:rPr>
        <w:i/>
        <w:iCs/>
        <w:sz w:val="18"/>
        <w:szCs w:val="18"/>
      </w:rPr>
    </w:pPr>
    <w:r w:rsidRPr="007E4A35">
      <w:rPr>
        <w:i/>
        <w:iCs/>
        <w:sz w:val="18"/>
        <w:szCs w:val="18"/>
      </w:rPr>
      <w:t>Office of Capital &amp; Space Planning; Division of Budget and Planning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0C66D" w14:textId="77777777" w:rsidR="008B5DB7" w:rsidRDefault="008B5DB7" w:rsidP="00410A94">
      <w:r>
        <w:separator/>
      </w:r>
    </w:p>
  </w:footnote>
  <w:footnote w:type="continuationSeparator" w:id="0">
    <w:p w14:paraId="028CB7B5" w14:textId="77777777" w:rsidR="008B5DB7" w:rsidRDefault="008B5DB7" w:rsidP="00410A94">
      <w:r>
        <w:continuationSeparator/>
      </w:r>
    </w:p>
  </w:footnote>
  <w:footnote w:id="1">
    <w:p w14:paraId="3CD64592" w14:textId="6804D59A" w:rsidR="00E350AE" w:rsidRPr="00E350AE" w:rsidRDefault="00E350AE">
      <w:pPr>
        <w:pStyle w:val="FootnoteText"/>
        <w:rPr>
          <w:rFonts w:ascii="Helvetica" w:hAnsi="Helvetica"/>
        </w:rPr>
      </w:pPr>
      <w:r w:rsidRPr="00E350AE">
        <w:rPr>
          <w:rStyle w:val="FootnoteReference"/>
          <w:rFonts w:ascii="Helvetica" w:hAnsi="Helvetica"/>
        </w:rPr>
        <w:footnoteRef/>
      </w:r>
      <w:r w:rsidRPr="00E350AE">
        <w:rPr>
          <w:rFonts w:ascii="Helvetica" w:hAnsi="Helvetica"/>
        </w:rPr>
        <w:t xml:space="preserve"> </w:t>
      </w:r>
      <w:r w:rsidRPr="00E350AE">
        <w:rPr>
          <w:rFonts w:ascii="Helvetica" w:eastAsia="Calibri" w:hAnsi="Helvetica" w:cs="Calibri"/>
        </w:rPr>
        <w:t>An activity that occurs within a specific date and time range. An event may be an academic class, a class-related event, a non-academic campus event, or a community-sponsored event. Event attendees may include specific known individuals as well as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CBDA" w14:textId="348CE6A8" w:rsidR="00410A94" w:rsidRDefault="00410A94" w:rsidP="00410A94">
    <w:pPr>
      <w:tabs>
        <w:tab w:val="right" w:pos="9360"/>
      </w:tabs>
      <w:adjustRightInd w:val="0"/>
      <w:snapToGrid w:val="0"/>
      <w:rPr>
        <w:rFonts w:cstheme="minorHAnsi"/>
        <w:i/>
        <w:iCs/>
        <w:color w:val="FF0000"/>
        <w:sz w:val="28"/>
        <w:szCs w:val="28"/>
      </w:rPr>
    </w:pPr>
    <w:r w:rsidRPr="00410A94">
      <w:rPr>
        <w:rFonts w:cstheme="minorHAnsi"/>
        <w:sz w:val="28"/>
        <w:szCs w:val="28"/>
      </w:rPr>
      <w:t>Shared Academic Buildings – Standard Agreement Template</w:t>
    </w:r>
    <w:r>
      <w:rPr>
        <w:rFonts w:cstheme="minorHAnsi"/>
        <w:sz w:val="28"/>
        <w:szCs w:val="28"/>
      </w:rPr>
      <w:tab/>
    </w:r>
    <w:r w:rsidR="00FA663B" w:rsidRPr="00FA663B">
      <w:rPr>
        <w:rFonts w:cstheme="minorHAnsi"/>
        <w:i/>
        <w:iCs/>
        <w:sz w:val="18"/>
        <w:szCs w:val="18"/>
      </w:rPr>
      <w:t xml:space="preserve">v.  </w:t>
    </w:r>
    <w:r w:rsidR="00C246B2">
      <w:rPr>
        <w:rFonts w:cstheme="minorHAnsi"/>
        <w:i/>
        <w:iCs/>
        <w:sz w:val="18"/>
        <w:szCs w:val="18"/>
      </w:rPr>
      <w:t>July</w:t>
    </w:r>
    <w:r w:rsidR="00FA663B" w:rsidRPr="00FA663B">
      <w:rPr>
        <w:rFonts w:cstheme="minorHAnsi"/>
        <w:i/>
        <w:iCs/>
        <w:sz w:val="18"/>
        <w:szCs w:val="18"/>
      </w:rPr>
      <w:t xml:space="preserve"> 202</w:t>
    </w:r>
    <w:r w:rsidR="00C246B2">
      <w:rPr>
        <w:rFonts w:cstheme="minorHAnsi"/>
        <w:i/>
        <w:iCs/>
        <w:sz w:val="18"/>
        <w:szCs w:val="18"/>
      </w:rPr>
      <w:t>5</w:t>
    </w:r>
  </w:p>
  <w:p w14:paraId="025E9243" w14:textId="6F7CDAF7" w:rsidR="00FD28AF" w:rsidRDefault="00FD28AF" w:rsidP="00FD28AF">
    <w:pPr>
      <w:tabs>
        <w:tab w:val="right" w:pos="9360"/>
      </w:tabs>
      <w:adjustRightInd w:val="0"/>
      <w:snapToGrid w:val="0"/>
      <w:spacing w:before="80"/>
      <w:rPr>
        <w:rFonts w:cstheme="minorHAnsi"/>
        <w:i/>
        <w:iCs/>
        <w:color w:val="44546A" w:themeColor="text2"/>
        <w:sz w:val="18"/>
        <w:szCs w:val="18"/>
      </w:rPr>
    </w:pPr>
    <w:r w:rsidRPr="00FD28AF">
      <w:rPr>
        <w:rFonts w:cstheme="minorHAnsi"/>
        <w:i/>
        <w:iCs/>
        <w:color w:val="44546A" w:themeColor="text2"/>
        <w:sz w:val="18"/>
        <w:szCs w:val="18"/>
      </w:rPr>
      <w:t xml:space="preserve">This Template identifies the most common considerations for management and operating decisions </w:t>
    </w:r>
    <w:r w:rsidR="00AD0BCA">
      <w:rPr>
        <w:rFonts w:cstheme="minorHAnsi"/>
        <w:i/>
        <w:iCs/>
        <w:color w:val="44546A" w:themeColor="text2"/>
        <w:sz w:val="18"/>
        <w:szCs w:val="18"/>
      </w:rPr>
      <w:t>in</w:t>
    </w:r>
    <w:r w:rsidRPr="00FD28AF">
      <w:rPr>
        <w:rFonts w:cstheme="minorHAnsi"/>
        <w:i/>
        <w:iCs/>
        <w:color w:val="44546A" w:themeColor="text2"/>
        <w:sz w:val="18"/>
        <w:szCs w:val="18"/>
      </w:rPr>
      <w:t xml:space="preserve"> shared academic buildings on the Ithaca campus.  It is intended to inform discussions and development of protocols that will ultimately be unique for each building and its major occupants.</w:t>
    </w:r>
    <w:r w:rsidR="005D23A9">
      <w:rPr>
        <w:rFonts w:cstheme="minorHAnsi"/>
        <w:i/>
        <w:iCs/>
        <w:color w:val="44546A" w:themeColor="text2"/>
        <w:sz w:val="18"/>
        <w:szCs w:val="18"/>
      </w:rPr>
      <w:t xml:space="preserve">  No shared academic building is required to have an Agreement in place regarding management and operating </w:t>
    </w:r>
    <w:r w:rsidR="007E2F83">
      <w:rPr>
        <w:rFonts w:cstheme="minorHAnsi"/>
        <w:i/>
        <w:iCs/>
        <w:color w:val="44546A" w:themeColor="text2"/>
        <w:sz w:val="18"/>
        <w:szCs w:val="18"/>
      </w:rPr>
      <w:t>decision</w:t>
    </w:r>
    <w:r w:rsidR="000E1125">
      <w:rPr>
        <w:rFonts w:cstheme="minorHAnsi"/>
        <w:i/>
        <w:iCs/>
        <w:color w:val="44546A" w:themeColor="text2"/>
        <w:sz w:val="18"/>
        <w:szCs w:val="18"/>
      </w:rPr>
      <w:t xml:space="preserve">s.  However, </w:t>
    </w:r>
    <w:r w:rsidR="005D23A9">
      <w:rPr>
        <w:rFonts w:cstheme="minorHAnsi"/>
        <w:i/>
        <w:iCs/>
        <w:color w:val="44546A" w:themeColor="text2"/>
        <w:sz w:val="18"/>
        <w:szCs w:val="18"/>
      </w:rPr>
      <w:t>should the occupants desire to document a shared understanding, this agreement is the preferred starting point.</w:t>
    </w:r>
    <w:r w:rsidR="001C70C5">
      <w:rPr>
        <w:rFonts w:cstheme="minorHAnsi"/>
        <w:i/>
        <w:iCs/>
        <w:color w:val="44546A" w:themeColor="text2"/>
        <w:sz w:val="18"/>
        <w:szCs w:val="18"/>
      </w:rPr>
      <w:t xml:space="preserve">  Every shared building situation is unique and no one document can capture </w:t>
    </w:r>
    <w:proofErr w:type="gramStart"/>
    <w:r w:rsidR="001C70C5">
      <w:rPr>
        <w:rFonts w:cstheme="minorHAnsi"/>
        <w:i/>
        <w:iCs/>
        <w:color w:val="44546A" w:themeColor="text2"/>
        <w:sz w:val="18"/>
        <w:szCs w:val="18"/>
      </w:rPr>
      <w:t>all of</w:t>
    </w:r>
    <w:proofErr w:type="gramEnd"/>
    <w:r w:rsidR="001C70C5">
      <w:rPr>
        <w:rFonts w:cstheme="minorHAnsi"/>
        <w:i/>
        <w:iCs/>
        <w:color w:val="44546A" w:themeColor="text2"/>
        <w:sz w:val="18"/>
        <w:szCs w:val="18"/>
      </w:rPr>
      <w:t xml:space="preserve"> the nuance; this template is proposed as a suggested structure for discussions.</w:t>
    </w:r>
  </w:p>
  <w:p w14:paraId="6B2117E0" w14:textId="54E344C1" w:rsidR="00410A94" w:rsidRDefault="00AD5FE9" w:rsidP="00AD5FE9">
    <w:pPr>
      <w:tabs>
        <w:tab w:val="left" w:pos="360"/>
        <w:tab w:val="right" w:pos="9360"/>
      </w:tabs>
      <w:adjustRightInd w:val="0"/>
      <w:snapToGrid w:val="0"/>
      <w:rPr>
        <w:rFonts w:cstheme="minorHAnsi"/>
        <w:i/>
        <w:iCs/>
        <w:color w:val="44546A" w:themeColor="text2"/>
        <w:sz w:val="18"/>
        <w:szCs w:val="18"/>
      </w:rPr>
    </w:pPr>
    <w:r w:rsidRPr="00AD5FE9">
      <w:rPr>
        <w:rFonts w:cstheme="minorHAnsi"/>
        <w:i/>
        <w:iCs/>
        <w:color w:val="44546A" w:themeColor="text2"/>
        <w:sz w:val="18"/>
        <w:szCs w:val="18"/>
      </w:rPr>
      <w:tab/>
      <w:t>A shared building agreement is not intended to replace location and term specific MOUs and agreements for specific uses of</w:t>
    </w:r>
    <w:r>
      <w:rPr>
        <w:rFonts w:cstheme="minorHAnsi"/>
        <w:i/>
        <w:iCs/>
        <w:color w:val="44546A" w:themeColor="text2"/>
        <w:sz w:val="18"/>
        <w:szCs w:val="18"/>
      </w:rPr>
      <w:t xml:space="preserve"> a building, e.g., an agreement with Dining for a café or a private use negotiated through the Office of General Counsel and Real Estate</w:t>
    </w:r>
    <w:r w:rsidR="00390B57">
      <w:rPr>
        <w:rFonts w:cstheme="minorHAnsi"/>
        <w:i/>
        <w:iCs/>
        <w:color w:val="44546A" w:themeColor="text2"/>
        <w:sz w:val="18"/>
        <w:szCs w:val="18"/>
      </w:rPr>
      <w:t xml:space="preserve"> (see Term Agreements section).</w:t>
    </w:r>
  </w:p>
  <w:p w14:paraId="60E149A4" w14:textId="77777777" w:rsidR="00AD5FE9" w:rsidRDefault="00AD5FE9" w:rsidP="00AD5FE9">
    <w:pPr>
      <w:tabs>
        <w:tab w:val="left" w:pos="360"/>
        <w:tab w:val="right" w:pos="9360"/>
      </w:tabs>
      <w:adjustRightInd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5BC7"/>
    <w:multiLevelType w:val="hybridMultilevel"/>
    <w:tmpl w:val="54662BCE"/>
    <w:lvl w:ilvl="0" w:tplc="04090001">
      <w:start w:val="1"/>
      <w:numFmt w:val="bullet"/>
      <w:lvlText w:val=""/>
      <w:lvlJc w:val="left"/>
      <w:pPr>
        <w:ind w:left="1553" w:hanging="360"/>
      </w:pPr>
      <w:rPr>
        <w:rFonts w:ascii="Symbol" w:hAnsi="Symbol" w:hint="default"/>
      </w:rPr>
    </w:lvl>
    <w:lvl w:ilvl="1" w:tplc="04090003" w:tentative="1">
      <w:start w:val="1"/>
      <w:numFmt w:val="bullet"/>
      <w:lvlText w:val="o"/>
      <w:lvlJc w:val="left"/>
      <w:pPr>
        <w:ind w:left="2273" w:hanging="360"/>
      </w:pPr>
      <w:rPr>
        <w:rFonts w:ascii="Courier New" w:hAnsi="Courier New" w:cs="Courier New" w:hint="default"/>
      </w:rPr>
    </w:lvl>
    <w:lvl w:ilvl="2" w:tplc="04090005" w:tentative="1">
      <w:start w:val="1"/>
      <w:numFmt w:val="bullet"/>
      <w:lvlText w:val=""/>
      <w:lvlJc w:val="left"/>
      <w:pPr>
        <w:ind w:left="2993" w:hanging="360"/>
      </w:pPr>
      <w:rPr>
        <w:rFonts w:ascii="Wingdings" w:hAnsi="Wingdings" w:hint="default"/>
      </w:rPr>
    </w:lvl>
    <w:lvl w:ilvl="3" w:tplc="04090001" w:tentative="1">
      <w:start w:val="1"/>
      <w:numFmt w:val="bullet"/>
      <w:lvlText w:val=""/>
      <w:lvlJc w:val="left"/>
      <w:pPr>
        <w:ind w:left="3713" w:hanging="360"/>
      </w:pPr>
      <w:rPr>
        <w:rFonts w:ascii="Symbol" w:hAnsi="Symbol" w:hint="default"/>
      </w:rPr>
    </w:lvl>
    <w:lvl w:ilvl="4" w:tplc="04090003" w:tentative="1">
      <w:start w:val="1"/>
      <w:numFmt w:val="bullet"/>
      <w:lvlText w:val="o"/>
      <w:lvlJc w:val="left"/>
      <w:pPr>
        <w:ind w:left="4433" w:hanging="360"/>
      </w:pPr>
      <w:rPr>
        <w:rFonts w:ascii="Courier New" w:hAnsi="Courier New" w:cs="Courier New" w:hint="default"/>
      </w:rPr>
    </w:lvl>
    <w:lvl w:ilvl="5" w:tplc="04090005" w:tentative="1">
      <w:start w:val="1"/>
      <w:numFmt w:val="bullet"/>
      <w:lvlText w:val=""/>
      <w:lvlJc w:val="left"/>
      <w:pPr>
        <w:ind w:left="5153" w:hanging="360"/>
      </w:pPr>
      <w:rPr>
        <w:rFonts w:ascii="Wingdings" w:hAnsi="Wingdings" w:hint="default"/>
      </w:rPr>
    </w:lvl>
    <w:lvl w:ilvl="6" w:tplc="04090001" w:tentative="1">
      <w:start w:val="1"/>
      <w:numFmt w:val="bullet"/>
      <w:lvlText w:val=""/>
      <w:lvlJc w:val="left"/>
      <w:pPr>
        <w:ind w:left="5873" w:hanging="360"/>
      </w:pPr>
      <w:rPr>
        <w:rFonts w:ascii="Symbol" w:hAnsi="Symbol" w:hint="default"/>
      </w:rPr>
    </w:lvl>
    <w:lvl w:ilvl="7" w:tplc="04090003" w:tentative="1">
      <w:start w:val="1"/>
      <w:numFmt w:val="bullet"/>
      <w:lvlText w:val="o"/>
      <w:lvlJc w:val="left"/>
      <w:pPr>
        <w:ind w:left="6593" w:hanging="360"/>
      </w:pPr>
      <w:rPr>
        <w:rFonts w:ascii="Courier New" w:hAnsi="Courier New" w:cs="Courier New" w:hint="default"/>
      </w:rPr>
    </w:lvl>
    <w:lvl w:ilvl="8" w:tplc="04090005" w:tentative="1">
      <w:start w:val="1"/>
      <w:numFmt w:val="bullet"/>
      <w:lvlText w:val=""/>
      <w:lvlJc w:val="left"/>
      <w:pPr>
        <w:ind w:left="7313" w:hanging="360"/>
      </w:pPr>
      <w:rPr>
        <w:rFonts w:ascii="Wingdings" w:hAnsi="Wingdings" w:hint="default"/>
      </w:rPr>
    </w:lvl>
  </w:abstractNum>
  <w:abstractNum w:abstractNumId="1" w15:restartNumberingAfterBreak="0">
    <w:nsid w:val="0DE833AF"/>
    <w:multiLevelType w:val="hybridMultilevel"/>
    <w:tmpl w:val="10363ADC"/>
    <w:lvl w:ilvl="0" w:tplc="954294DC">
      <w:start w:val="1"/>
      <w:numFmt w:val="bullet"/>
      <w:lvlText w:val="–"/>
      <w:lvlJc w:val="left"/>
      <w:pPr>
        <w:tabs>
          <w:tab w:val="num" w:pos="720"/>
        </w:tabs>
        <w:ind w:left="720" w:hanging="360"/>
      </w:pPr>
      <w:rPr>
        <w:rFonts w:ascii="Arial" w:hAnsi="Arial" w:hint="default"/>
      </w:rPr>
    </w:lvl>
    <w:lvl w:ilvl="1" w:tplc="55808C86">
      <w:start w:val="1"/>
      <w:numFmt w:val="bullet"/>
      <w:lvlText w:val="–"/>
      <w:lvlJc w:val="left"/>
      <w:pPr>
        <w:tabs>
          <w:tab w:val="num" w:pos="1440"/>
        </w:tabs>
        <w:ind w:left="1440" w:hanging="360"/>
      </w:pPr>
      <w:rPr>
        <w:rFonts w:ascii="Arial" w:hAnsi="Arial" w:hint="default"/>
      </w:rPr>
    </w:lvl>
    <w:lvl w:ilvl="2" w:tplc="6D48EB10">
      <w:numFmt w:val="bullet"/>
      <w:lvlText w:val="•"/>
      <w:lvlJc w:val="left"/>
      <w:pPr>
        <w:tabs>
          <w:tab w:val="num" w:pos="2160"/>
        </w:tabs>
        <w:ind w:left="2160" w:hanging="360"/>
      </w:pPr>
      <w:rPr>
        <w:rFonts w:ascii="Arial" w:hAnsi="Arial" w:hint="default"/>
      </w:rPr>
    </w:lvl>
    <w:lvl w:ilvl="3" w:tplc="526ED224" w:tentative="1">
      <w:start w:val="1"/>
      <w:numFmt w:val="bullet"/>
      <w:lvlText w:val="–"/>
      <w:lvlJc w:val="left"/>
      <w:pPr>
        <w:tabs>
          <w:tab w:val="num" w:pos="2880"/>
        </w:tabs>
        <w:ind w:left="2880" w:hanging="360"/>
      </w:pPr>
      <w:rPr>
        <w:rFonts w:ascii="Arial" w:hAnsi="Arial" w:hint="default"/>
      </w:rPr>
    </w:lvl>
    <w:lvl w:ilvl="4" w:tplc="5E2C3730" w:tentative="1">
      <w:start w:val="1"/>
      <w:numFmt w:val="bullet"/>
      <w:lvlText w:val="–"/>
      <w:lvlJc w:val="left"/>
      <w:pPr>
        <w:tabs>
          <w:tab w:val="num" w:pos="3600"/>
        </w:tabs>
        <w:ind w:left="3600" w:hanging="360"/>
      </w:pPr>
      <w:rPr>
        <w:rFonts w:ascii="Arial" w:hAnsi="Arial" w:hint="default"/>
      </w:rPr>
    </w:lvl>
    <w:lvl w:ilvl="5" w:tplc="74DCBBA6" w:tentative="1">
      <w:start w:val="1"/>
      <w:numFmt w:val="bullet"/>
      <w:lvlText w:val="–"/>
      <w:lvlJc w:val="left"/>
      <w:pPr>
        <w:tabs>
          <w:tab w:val="num" w:pos="4320"/>
        </w:tabs>
        <w:ind w:left="4320" w:hanging="360"/>
      </w:pPr>
      <w:rPr>
        <w:rFonts w:ascii="Arial" w:hAnsi="Arial" w:hint="default"/>
      </w:rPr>
    </w:lvl>
    <w:lvl w:ilvl="6" w:tplc="5DD64400" w:tentative="1">
      <w:start w:val="1"/>
      <w:numFmt w:val="bullet"/>
      <w:lvlText w:val="–"/>
      <w:lvlJc w:val="left"/>
      <w:pPr>
        <w:tabs>
          <w:tab w:val="num" w:pos="5040"/>
        </w:tabs>
        <w:ind w:left="5040" w:hanging="360"/>
      </w:pPr>
      <w:rPr>
        <w:rFonts w:ascii="Arial" w:hAnsi="Arial" w:hint="default"/>
      </w:rPr>
    </w:lvl>
    <w:lvl w:ilvl="7" w:tplc="3A5AD738" w:tentative="1">
      <w:start w:val="1"/>
      <w:numFmt w:val="bullet"/>
      <w:lvlText w:val="–"/>
      <w:lvlJc w:val="left"/>
      <w:pPr>
        <w:tabs>
          <w:tab w:val="num" w:pos="5760"/>
        </w:tabs>
        <w:ind w:left="5760" w:hanging="360"/>
      </w:pPr>
      <w:rPr>
        <w:rFonts w:ascii="Arial" w:hAnsi="Arial" w:hint="default"/>
      </w:rPr>
    </w:lvl>
    <w:lvl w:ilvl="8" w:tplc="33FCC3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915B28"/>
    <w:multiLevelType w:val="hybridMultilevel"/>
    <w:tmpl w:val="B14A1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00650"/>
    <w:multiLevelType w:val="hybridMultilevel"/>
    <w:tmpl w:val="91562DD8"/>
    <w:lvl w:ilvl="0" w:tplc="1C42857C">
      <w:start w:val="1"/>
      <w:numFmt w:val="bullet"/>
      <w:lvlText w:val="–"/>
      <w:lvlJc w:val="left"/>
      <w:pPr>
        <w:tabs>
          <w:tab w:val="num" w:pos="720"/>
        </w:tabs>
        <w:ind w:left="720" w:hanging="360"/>
      </w:pPr>
      <w:rPr>
        <w:rFonts w:ascii="Arial" w:hAnsi="Arial" w:hint="default"/>
      </w:rPr>
    </w:lvl>
    <w:lvl w:ilvl="1" w:tplc="90405C7E">
      <w:start w:val="1"/>
      <w:numFmt w:val="bullet"/>
      <w:lvlText w:val="–"/>
      <w:lvlJc w:val="left"/>
      <w:pPr>
        <w:tabs>
          <w:tab w:val="num" w:pos="1440"/>
        </w:tabs>
        <w:ind w:left="1440" w:hanging="360"/>
      </w:pPr>
      <w:rPr>
        <w:rFonts w:ascii="Arial" w:hAnsi="Arial" w:hint="default"/>
      </w:rPr>
    </w:lvl>
    <w:lvl w:ilvl="2" w:tplc="C1520EEC">
      <w:numFmt w:val="bullet"/>
      <w:lvlText w:val="•"/>
      <w:lvlJc w:val="left"/>
      <w:pPr>
        <w:tabs>
          <w:tab w:val="num" w:pos="2160"/>
        </w:tabs>
        <w:ind w:left="2160" w:hanging="360"/>
      </w:pPr>
      <w:rPr>
        <w:rFonts w:ascii="Arial" w:hAnsi="Arial" w:hint="default"/>
      </w:rPr>
    </w:lvl>
    <w:lvl w:ilvl="3" w:tplc="CDD88E14" w:tentative="1">
      <w:start w:val="1"/>
      <w:numFmt w:val="bullet"/>
      <w:lvlText w:val="–"/>
      <w:lvlJc w:val="left"/>
      <w:pPr>
        <w:tabs>
          <w:tab w:val="num" w:pos="2880"/>
        </w:tabs>
        <w:ind w:left="2880" w:hanging="360"/>
      </w:pPr>
      <w:rPr>
        <w:rFonts w:ascii="Arial" w:hAnsi="Arial" w:hint="default"/>
      </w:rPr>
    </w:lvl>
    <w:lvl w:ilvl="4" w:tplc="03B81582" w:tentative="1">
      <w:start w:val="1"/>
      <w:numFmt w:val="bullet"/>
      <w:lvlText w:val="–"/>
      <w:lvlJc w:val="left"/>
      <w:pPr>
        <w:tabs>
          <w:tab w:val="num" w:pos="3600"/>
        </w:tabs>
        <w:ind w:left="3600" w:hanging="360"/>
      </w:pPr>
      <w:rPr>
        <w:rFonts w:ascii="Arial" w:hAnsi="Arial" w:hint="default"/>
      </w:rPr>
    </w:lvl>
    <w:lvl w:ilvl="5" w:tplc="86642E82" w:tentative="1">
      <w:start w:val="1"/>
      <w:numFmt w:val="bullet"/>
      <w:lvlText w:val="–"/>
      <w:lvlJc w:val="left"/>
      <w:pPr>
        <w:tabs>
          <w:tab w:val="num" w:pos="4320"/>
        </w:tabs>
        <w:ind w:left="4320" w:hanging="360"/>
      </w:pPr>
      <w:rPr>
        <w:rFonts w:ascii="Arial" w:hAnsi="Arial" w:hint="default"/>
      </w:rPr>
    </w:lvl>
    <w:lvl w:ilvl="6" w:tplc="90A2217E" w:tentative="1">
      <w:start w:val="1"/>
      <w:numFmt w:val="bullet"/>
      <w:lvlText w:val="–"/>
      <w:lvlJc w:val="left"/>
      <w:pPr>
        <w:tabs>
          <w:tab w:val="num" w:pos="5040"/>
        </w:tabs>
        <w:ind w:left="5040" w:hanging="360"/>
      </w:pPr>
      <w:rPr>
        <w:rFonts w:ascii="Arial" w:hAnsi="Arial" w:hint="default"/>
      </w:rPr>
    </w:lvl>
    <w:lvl w:ilvl="7" w:tplc="318E7882" w:tentative="1">
      <w:start w:val="1"/>
      <w:numFmt w:val="bullet"/>
      <w:lvlText w:val="–"/>
      <w:lvlJc w:val="left"/>
      <w:pPr>
        <w:tabs>
          <w:tab w:val="num" w:pos="5760"/>
        </w:tabs>
        <w:ind w:left="5760" w:hanging="360"/>
      </w:pPr>
      <w:rPr>
        <w:rFonts w:ascii="Arial" w:hAnsi="Arial" w:hint="default"/>
      </w:rPr>
    </w:lvl>
    <w:lvl w:ilvl="8" w:tplc="A5A2B6B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C55051"/>
    <w:multiLevelType w:val="hybridMultilevel"/>
    <w:tmpl w:val="00B8C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82341"/>
    <w:multiLevelType w:val="hybridMultilevel"/>
    <w:tmpl w:val="38DC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F1EDC"/>
    <w:multiLevelType w:val="hybridMultilevel"/>
    <w:tmpl w:val="15F0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55B"/>
    <w:multiLevelType w:val="hybridMultilevel"/>
    <w:tmpl w:val="114E2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D01C7"/>
    <w:multiLevelType w:val="hybridMultilevel"/>
    <w:tmpl w:val="B76C1E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F6054"/>
    <w:multiLevelType w:val="hybridMultilevel"/>
    <w:tmpl w:val="80BAE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148AE"/>
    <w:multiLevelType w:val="hybridMultilevel"/>
    <w:tmpl w:val="FFB437B2"/>
    <w:lvl w:ilvl="0" w:tplc="10B6764A">
      <w:start w:val="1"/>
      <w:numFmt w:val="bullet"/>
      <w:lvlText w:val="–"/>
      <w:lvlJc w:val="left"/>
      <w:pPr>
        <w:tabs>
          <w:tab w:val="num" w:pos="720"/>
        </w:tabs>
        <w:ind w:left="720" w:hanging="360"/>
      </w:pPr>
      <w:rPr>
        <w:rFonts w:ascii="Arial" w:hAnsi="Arial" w:hint="default"/>
      </w:rPr>
    </w:lvl>
    <w:lvl w:ilvl="1" w:tplc="871CE104">
      <w:start w:val="1"/>
      <w:numFmt w:val="bullet"/>
      <w:lvlText w:val="–"/>
      <w:lvlJc w:val="left"/>
      <w:pPr>
        <w:tabs>
          <w:tab w:val="num" w:pos="1440"/>
        </w:tabs>
        <w:ind w:left="1440" w:hanging="360"/>
      </w:pPr>
      <w:rPr>
        <w:rFonts w:ascii="Arial" w:hAnsi="Arial" w:hint="default"/>
      </w:rPr>
    </w:lvl>
    <w:lvl w:ilvl="2" w:tplc="0F8842EA">
      <w:numFmt w:val="bullet"/>
      <w:lvlText w:val="•"/>
      <w:lvlJc w:val="left"/>
      <w:pPr>
        <w:tabs>
          <w:tab w:val="num" w:pos="2160"/>
        </w:tabs>
        <w:ind w:left="2160" w:hanging="360"/>
      </w:pPr>
      <w:rPr>
        <w:rFonts w:ascii="Arial" w:hAnsi="Arial" w:hint="default"/>
      </w:rPr>
    </w:lvl>
    <w:lvl w:ilvl="3" w:tplc="56CC6168" w:tentative="1">
      <w:start w:val="1"/>
      <w:numFmt w:val="bullet"/>
      <w:lvlText w:val="–"/>
      <w:lvlJc w:val="left"/>
      <w:pPr>
        <w:tabs>
          <w:tab w:val="num" w:pos="2880"/>
        </w:tabs>
        <w:ind w:left="2880" w:hanging="360"/>
      </w:pPr>
      <w:rPr>
        <w:rFonts w:ascii="Arial" w:hAnsi="Arial" w:hint="default"/>
      </w:rPr>
    </w:lvl>
    <w:lvl w:ilvl="4" w:tplc="34DE8B3E" w:tentative="1">
      <w:start w:val="1"/>
      <w:numFmt w:val="bullet"/>
      <w:lvlText w:val="–"/>
      <w:lvlJc w:val="left"/>
      <w:pPr>
        <w:tabs>
          <w:tab w:val="num" w:pos="3600"/>
        </w:tabs>
        <w:ind w:left="3600" w:hanging="360"/>
      </w:pPr>
      <w:rPr>
        <w:rFonts w:ascii="Arial" w:hAnsi="Arial" w:hint="default"/>
      </w:rPr>
    </w:lvl>
    <w:lvl w:ilvl="5" w:tplc="69BE1BA6" w:tentative="1">
      <w:start w:val="1"/>
      <w:numFmt w:val="bullet"/>
      <w:lvlText w:val="–"/>
      <w:lvlJc w:val="left"/>
      <w:pPr>
        <w:tabs>
          <w:tab w:val="num" w:pos="4320"/>
        </w:tabs>
        <w:ind w:left="4320" w:hanging="360"/>
      </w:pPr>
      <w:rPr>
        <w:rFonts w:ascii="Arial" w:hAnsi="Arial" w:hint="default"/>
      </w:rPr>
    </w:lvl>
    <w:lvl w:ilvl="6" w:tplc="19EAA490" w:tentative="1">
      <w:start w:val="1"/>
      <w:numFmt w:val="bullet"/>
      <w:lvlText w:val="–"/>
      <w:lvlJc w:val="left"/>
      <w:pPr>
        <w:tabs>
          <w:tab w:val="num" w:pos="5040"/>
        </w:tabs>
        <w:ind w:left="5040" w:hanging="360"/>
      </w:pPr>
      <w:rPr>
        <w:rFonts w:ascii="Arial" w:hAnsi="Arial" w:hint="default"/>
      </w:rPr>
    </w:lvl>
    <w:lvl w:ilvl="7" w:tplc="B9F6B59E" w:tentative="1">
      <w:start w:val="1"/>
      <w:numFmt w:val="bullet"/>
      <w:lvlText w:val="–"/>
      <w:lvlJc w:val="left"/>
      <w:pPr>
        <w:tabs>
          <w:tab w:val="num" w:pos="5760"/>
        </w:tabs>
        <w:ind w:left="5760" w:hanging="360"/>
      </w:pPr>
      <w:rPr>
        <w:rFonts w:ascii="Arial" w:hAnsi="Arial" w:hint="default"/>
      </w:rPr>
    </w:lvl>
    <w:lvl w:ilvl="8" w:tplc="09B60A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701D93"/>
    <w:multiLevelType w:val="hybridMultilevel"/>
    <w:tmpl w:val="5FB284C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763104"/>
    <w:multiLevelType w:val="hybridMultilevel"/>
    <w:tmpl w:val="2482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F2750"/>
    <w:multiLevelType w:val="hybridMultilevel"/>
    <w:tmpl w:val="B5E80662"/>
    <w:lvl w:ilvl="0" w:tplc="505677AC">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87BB4"/>
    <w:multiLevelType w:val="hybridMultilevel"/>
    <w:tmpl w:val="F2704C32"/>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5" w15:restartNumberingAfterBreak="0">
    <w:nsid w:val="34694B44"/>
    <w:multiLevelType w:val="hybridMultilevel"/>
    <w:tmpl w:val="5A144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261D5B"/>
    <w:multiLevelType w:val="hybridMultilevel"/>
    <w:tmpl w:val="E186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24CCF"/>
    <w:multiLevelType w:val="hybridMultilevel"/>
    <w:tmpl w:val="2684DDA0"/>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E8A4F72"/>
    <w:multiLevelType w:val="hybridMultilevel"/>
    <w:tmpl w:val="339A1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302A3"/>
    <w:multiLevelType w:val="hybridMultilevel"/>
    <w:tmpl w:val="B26C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5795C"/>
    <w:multiLevelType w:val="hybridMultilevel"/>
    <w:tmpl w:val="FE7EED26"/>
    <w:lvl w:ilvl="0" w:tplc="585E86CC">
      <w:start w:val="1"/>
      <w:numFmt w:val="bullet"/>
      <w:lvlText w:val="–"/>
      <w:lvlJc w:val="left"/>
      <w:pPr>
        <w:tabs>
          <w:tab w:val="num" w:pos="720"/>
        </w:tabs>
        <w:ind w:left="720" w:hanging="360"/>
      </w:pPr>
      <w:rPr>
        <w:rFonts w:ascii="Arial" w:hAnsi="Arial" w:hint="default"/>
      </w:rPr>
    </w:lvl>
    <w:lvl w:ilvl="1" w:tplc="DDA81FCA">
      <w:start w:val="1"/>
      <w:numFmt w:val="bullet"/>
      <w:lvlText w:val="–"/>
      <w:lvlJc w:val="left"/>
      <w:pPr>
        <w:tabs>
          <w:tab w:val="num" w:pos="1440"/>
        </w:tabs>
        <w:ind w:left="1440" w:hanging="360"/>
      </w:pPr>
      <w:rPr>
        <w:rFonts w:ascii="Arial" w:hAnsi="Arial" w:hint="default"/>
      </w:rPr>
    </w:lvl>
    <w:lvl w:ilvl="2" w:tplc="09D455DE">
      <w:numFmt w:val="bullet"/>
      <w:lvlText w:val="•"/>
      <w:lvlJc w:val="left"/>
      <w:pPr>
        <w:tabs>
          <w:tab w:val="num" w:pos="2160"/>
        </w:tabs>
        <w:ind w:left="2160" w:hanging="360"/>
      </w:pPr>
      <w:rPr>
        <w:rFonts w:ascii="Arial" w:hAnsi="Arial" w:hint="default"/>
      </w:rPr>
    </w:lvl>
    <w:lvl w:ilvl="3" w:tplc="B2064306" w:tentative="1">
      <w:start w:val="1"/>
      <w:numFmt w:val="bullet"/>
      <w:lvlText w:val="–"/>
      <w:lvlJc w:val="left"/>
      <w:pPr>
        <w:tabs>
          <w:tab w:val="num" w:pos="2880"/>
        </w:tabs>
        <w:ind w:left="2880" w:hanging="360"/>
      </w:pPr>
      <w:rPr>
        <w:rFonts w:ascii="Arial" w:hAnsi="Arial" w:hint="default"/>
      </w:rPr>
    </w:lvl>
    <w:lvl w:ilvl="4" w:tplc="B7967716" w:tentative="1">
      <w:start w:val="1"/>
      <w:numFmt w:val="bullet"/>
      <w:lvlText w:val="–"/>
      <w:lvlJc w:val="left"/>
      <w:pPr>
        <w:tabs>
          <w:tab w:val="num" w:pos="3600"/>
        </w:tabs>
        <w:ind w:left="3600" w:hanging="360"/>
      </w:pPr>
      <w:rPr>
        <w:rFonts w:ascii="Arial" w:hAnsi="Arial" w:hint="default"/>
      </w:rPr>
    </w:lvl>
    <w:lvl w:ilvl="5" w:tplc="E654A8AC" w:tentative="1">
      <w:start w:val="1"/>
      <w:numFmt w:val="bullet"/>
      <w:lvlText w:val="–"/>
      <w:lvlJc w:val="left"/>
      <w:pPr>
        <w:tabs>
          <w:tab w:val="num" w:pos="4320"/>
        </w:tabs>
        <w:ind w:left="4320" w:hanging="360"/>
      </w:pPr>
      <w:rPr>
        <w:rFonts w:ascii="Arial" w:hAnsi="Arial" w:hint="default"/>
      </w:rPr>
    </w:lvl>
    <w:lvl w:ilvl="6" w:tplc="423C888E" w:tentative="1">
      <w:start w:val="1"/>
      <w:numFmt w:val="bullet"/>
      <w:lvlText w:val="–"/>
      <w:lvlJc w:val="left"/>
      <w:pPr>
        <w:tabs>
          <w:tab w:val="num" w:pos="5040"/>
        </w:tabs>
        <w:ind w:left="5040" w:hanging="360"/>
      </w:pPr>
      <w:rPr>
        <w:rFonts w:ascii="Arial" w:hAnsi="Arial" w:hint="default"/>
      </w:rPr>
    </w:lvl>
    <w:lvl w:ilvl="7" w:tplc="4526506A" w:tentative="1">
      <w:start w:val="1"/>
      <w:numFmt w:val="bullet"/>
      <w:lvlText w:val="–"/>
      <w:lvlJc w:val="left"/>
      <w:pPr>
        <w:tabs>
          <w:tab w:val="num" w:pos="5760"/>
        </w:tabs>
        <w:ind w:left="5760" w:hanging="360"/>
      </w:pPr>
      <w:rPr>
        <w:rFonts w:ascii="Arial" w:hAnsi="Arial" w:hint="default"/>
      </w:rPr>
    </w:lvl>
    <w:lvl w:ilvl="8" w:tplc="72104FB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CE75E79"/>
    <w:multiLevelType w:val="hybridMultilevel"/>
    <w:tmpl w:val="17488DB4"/>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2" w15:restartNumberingAfterBreak="0">
    <w:nsid w:val="68084768"/>
    <w:multiLevelType w:val="hybridMultilevel"/>
    <w:tmpl w:val="2F426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76BAD"/>
    <w:multiLevelType w:val="hybridMultilevel"/>
    <w:tmpl w:val="28E41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CB12EF"/>
    <w:multiLevelType w:val="hybridMultilevel"/>
    <w:tmpl w:val="FA46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C47444"/>
    <w:multiLevelType w:val="hybridMultilevel"/>
    <w:tmpl w:val="65E6B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F17B39"/>
    <w:multiLevelType w:val="hybridMultilevel"/>
    <w:tmpl w:val="1DC0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93FD3"/>
    <w:multiLevelType w:val="hybridMultilevel"/>
    <w:tmpl w:val="98046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4939202">
    <w:abstractNumId w:val="1"/>
  </w:num>
  <w:num w:numId="2" w16cid:durableId="1389957376">
    <w:abstractNumId w:val="10"/>
  </w:num>
  <w:num w:numId="3" w16cid:durableId="1777826680">
    <w:abstractNumId w:val="3"/>
  </w:num>
  <w:num w:numId="4" w16cid:durableId="951596256">
    <w:abstractNumId w:val="14"/>
  </w:num>
  <w:num w:numId="5" w16cid:durableId="875390532">
    <w:abstractNumId w:val="20"/>
  </w:num>
  <w:num w:numId="6" w16cid:durableId="234557754">
    <w:abstractNumId w:val="6"/>
  </w:num>
  <w:num w:numId="7" w16cid:durableId="846947762">
    <w:abstractNumId w:val="7"/>
  </w:num>
  <w:num w:numId="8" w16cid:durableId="122693752">
    <w:abstractNumId w:val="15"/>
  </w:num>
  <w:num w:numId="9" w16cid:durableId="469253450">
    <w:abstractNumId w:val="26"/>
  </w:num>
  <w:num w:numId="10" w16cid:durableId="702169154">
    <w:abstractNumId w:val="13"/>
  </w:num>
  <w:num w:numId="11" w16cid:durableId="684285059">
    <w:abstractNumId w:val="21"/>
  </w:num>
  <w:num w:numId="12" w16cid:durableId="465005041">
    <w:abstractNumId w:val="0"/>
  </w:num>
  <w:num w:numId="13" w16cid:durableId="271012997">
    <w:abstractNumId w:val="16"/>
  </w:num>
  <w:num w:numId="14" w16cid:durableId="117139795">
    <w:abstractNumId w:val="24"/>
  </w:num>
  <w:num w:numId="15" w16cid:durableId="1421871131">
    <w:abstractNumId w:val="22"/>
  </w:num>
  <w:num w:numId="16" w16cid:durableId="1741173918">
    <w:abstractNumId w:val="4"/>
  </w:num>
  <w:num w:numId="17" w16cid:durableId="1345746059">
    <w:abstractNumId w:val="9"/>
  </w:num>
  <w:num w:numId="18" w16cid:durableId="772439568">
    <w:abstractNumId w:val="25"/>
  </w:num>
  <w:num w:numId="19" w16cid:durableId="1264873323">
    <w:abstractNumId w:val="8"/>
  </w:num>
  <w:num w:numId="20" w16cid:durableId="670060938">
    <w:abstractNumId w:val="19"/>
  </w:num>
  <w:num w:numId="21" w16cid:durableId="1355569461">
    <w:abstractNumId w:val="5"/>
  </w:num>
  <w:num w:numId="22" w16cid:durableId="1971983294">
    <w:abstractNumId w:val="2"/>
  </w:num>
  <w:num w:numId="23" w16cid:durableId="927269555">
    <w:abstractNumId w:val="18"/>
  </w:num>
  <w:num w:numId="24" w16cid:durableId="1871449702">
    <w:abstractNumId w:val="17"/>
  </w:num>
  <w:num w:numId="25" w16cid:durableId="619914981">
    <w:abstractNumId w:val="23"/>
  </w:num>
  <w:num w:numId="26" w16cid:durableId="949242228">
    <w:abstractNumId w:val="11"/>
  </w:num>
  <w:num w:numId="27" w16cid:durableId="1755736255">
    <w:abstractNumId w:val="12"/>
  </w:num>
  <w:num w:numId="28" w16cid:durableId="198950628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EC"/>
    <w:rsid w:val="00003F8B"/>
    <w:rsid w:val="00014DD3"/>
    <w:rsid w:val="00034DD3"/>
    <w:rsid w:val="00043859"/>
    <w:rsid w:val="00055A2C"/>
    <w:rsid w:val="000605BF"/>
    <w:rsid w:val="00060AA3"/>
    <w:rsid w:val="00067F5A"/>
    <w:rsid w:val="00080A7B"/>
    <w:rsid w:val="000B5E26"/>
    <w:rsid w:val="000E1125"/>
    <w:rsid w:val="000F0FF4"/>
    <w:rsid w:val="000F3E70"/>
    <w:rsid w:val="000F75B5"/>
    <w:rsid w:val="00115DE2"/>
    <w:rsid w:val="00132E79"/>
    <w:rsid w:val="00137F22"/>
    <w:rsid w:val="001408EE"/>
    <w:rsid w:val="00152F62"/>
    <w:rsid w:val="00153278"/>
    <w:rsid w:val="00155410"/>
    <w:rsid w:val="00175B52"/>
    <w:rsid w:val="00177F61"/>
    <w:rsid w:val="001A76CA"/>
    <w:rsid w:val="001C70C5"/>
    <w:rsid w:val="001C77E8"/>
    <w:rsid w:val="001D429B"/>
    <w:rsid w:val="001D4BAF"/>
    <w:rsid w:val="001D5B5D"/>
    <w:rsid w:val="00211755"/>
    <w:rsid w:val="00214DEB"/>
    <w:rsid w:val="0022190B"/>
    <w:rsid w:val="00223401"/>
    <w:rsid w:val="00260C60"/>
    <w:rsid w:val="00263981"/>
    <w:rsid w:val="002A3044"/>
    <w:rsid w:val="002A7D39"/>
    <w:rsid w:val="002B0280"/>
    <w:rsid w:val="002B4D31"/>
    <w:rsid w:val="002C3054"/>
    <w:rsid w:val="002D663C"/>
    <w:rsid w:val="002E02BB"/>
    <w:rsid w:val="002E18EC"/>
    <w:rsid w:val="0030027F"/>
    <w:rsid w:val="00330BAF"/>
    <w:rsid w:val="00352BDB"/>
    <w:rsid w:val="0036318A"/>
    <w:rsid w:val="00390B57"/>
    <w:rsid w:val="00395680"/>
    <w:rsid w:val="00397FBE"/>
    <w:rsid w:val="003A1C6A"/>
    <w:rsid w:val="003B38C5"/>
    <w:rsid w:val="003B797F"/>
    <w:rsid w:val="003C007A"/>
    <w:rsid w:val="003C3485"/>
    <w:rsid w:val="003C374E"/>
    <w:rsid w:val="003C38CB"/>
    <w:rsid w:val="00403174"/>
    <w:rsid w:val="00410A94"/>
    <w:rsid w:val="00410C69"/>
    <w:rsid w:val="00421156"/>
    <w:rsid w:val="00422F34"/>
    <w:rsid w:val="00423CC9"/>
    <w:rsid w:val="00450FCF"/>
    <w:rsid w:val="0047509D"/>
    <w:rsid w:val="004860D3"/>
    <w:rsid w:val="004A5A5B"/>
    <w:rsid w:val="004B318B"/>
    <w:rsid w:val="004C678E"/>
    <w:rsid w:val="004E05B4"/>
    <w:rsid w:val="00507090"/>
    <w:rsid w:val="0057618C"/>
    <w:rsid w:val="0057695F"/>
    <w:rsid w:val="00582E46"/>
    <w:rsid w:val="00584F11"/>
    <w:rsid w:val="005875EA"/>
    <w:rsid w:val="005A60B8"/>
    <w:rsid w:val="005B36AF"/>
    <w:rsid w:val="005D23A9"/>
    <w:rsid w:val="005D2C1F"/>
    <w:rsid w:val="005E16C0"/>
    <w:rsid w:val="006069F7"/>
    <w:rsid w:val="00611D17"/>
    <w:rsid w:val="00642AD3"/>
    <w:rsid w:val="00664AF0"/>
    <w:rsid w:val="00690495"/>
    <w:rsid w:val="00691969"/>
    <w:rsid w:val="006C0B70"/>
    <w:rsid w:val="00703061"/>
    <w:rsid w:val="00710819"/>
    <w:rsid w:val="00737C58"/>
    <w:rsid w:val="00743F15"/>
    <w:rsid w:val="00766320"/>
    <w:rsid w:val="007876BC"/>
    <w:rsid w:val="00796D8B"/>
    <w:rsid w:val="007A718F"/>
    <w:rsid w:val="007C080F"/>
    <w:rsid w:val="007C6512"/>
    <w:rsid w:val="007E2F83"/>
    <w:rsid w:val="007E4A35"/>
    <w:rsid w:val="007F6DE0"/>
    <w:rsid w:val="00802738"/>
    <w:rsid w:val="00810DF6"/>
    <w:rsid w:val="00820B88"/>
    <w:rsid w:val="008457BA"/>
    <w:rsid w:val="00854262"/>
    <w:rsid w:val="00855F5F"/>
    <w:rsid w:val="008648D4"/>
    <w:rsid w:val="00865B4D"/>
    <w:rsid w:val="00893BB9"/>
    <w:rsid w:val="008B4D9C"/>
    <w:rsid w:val="008B5DB7"/>
    <w:rsid w:val="008B659D"/>
    <w:rsid w:val="008E482F"/>
    <w:rsid w:val="008E4ED9"/>
    <w:rsid w:val="00914E9C"/>
    <w:rsid w:val="009311BE"/>
    <w:rsid w:val="00951AD7"/>
    <w:rsid w:val="0096533E"/>
    <w:rsid w:val="0099678F"/>
    <w:rsid w:val="0099766F"/>
    <w:rsid w:val="009A60BF"/>
    <w:rsid w:val="009B684A"/>
    <w:rsid w:val="009B768E"/>
    <w:rsid w:val="009D2E33"/>
    <w:rsid w:val="00A158EF"/>
    <w:rsid w:val="00A271C6"/>
    <w:rsid w:val="00A4551E"/>
    <w:rsid w:val="00A501A3"/>
    <w:rsid w:val="00A554E0"/>
    <w:rsid w:val="00A84E0F"/>
    <w:rsid w:val="00A95231"/>
    <w:rsid w:val="00AA1F3C"/>
    <w:rsid w:val="00AA53D6"/>
    <w:rsid w:val="00AC1279"/>
    <w:rsid w:val="00AD09B7"/>
    <w:rsid w:val="00AD0BCA"/>
    <w:rsid w:val="00AD5FE9"/>
    <w:rsid w:val="00B40446"/>
    <w:rsid w:val="00B55EF4"/>
    <w:rsid w:val="00B620C2"/>
    <w:rsid w:val="00C04523"/>
    <w:rsid w:val="00C05D4E"/>
    <w:rsid w:val="00C17CF9"/>
    <w:rsid w:val="00C246B2"/>
    <w:rsid w:val="00C57ADE"/>
    <w:rsid w:val="00C65DA5"/>
    <w:rsid w:val="00C6612A"/>
    <w:rsid w:val="00C66A34"/>
    <w:rsid w:val="00C92EF2"/>
    <w:rsid w:val="00C9480C"/>
    <w:rsid w:val="00CC5AC8"/>
    <w:rsid w:val="00CE1B07"/>
    <w:rsid w:val="00D03B19"/>
    <w:rsid w:val="00D105DD"/>
    <w:rsid w:val="00D23C4B"/>
    <w:rsid w:val="00D25E63"/>
    <w:rsid w:val="00D5169B"/>
    <w:rsid w:val="00D52AEE"/>
    <w:rsid w:val="00D72FE0"/>
    <w:rsid w:val="00D81F7F"/>
    <w:rsid w:val="00DA7AF5"/>
    <w:rsid w:val="00DC0278"/>
    <w:rsid w:val="00DC7CEF"/>
    <w:rsid w:val="00DD2E49"/>
    <w:rsid w:val="00DF072E"/>
    <w:rsid w:val="00E222B9"/>
    <w:rsid w:val="00E2547F"/>
    <w:rsid w:val="00E350AE"/>
    <w:rsid w:val="00E43129"/>
    <w:rsid w:val="00E5352E"/>
    <w:rsid w:val="00E708A8"/>
    <w:rsid w:val="00E76CEE"/>
    <w:rsid w:val="00EA556C"/>
    <w:rsid w:val="00EB5E05"/>
    <w:rsid w:val="00EC10A2"/>
    <w:rsid w:val="00EC7A0C"/>
    <w:rsid w:val="00ED34D0"/>
    <w:rsid w:val="00ED5CF9"/>
    <w:rsid w:val="00EE1102"/>
    <w:rsid w:val="00EE79A7"/>
    <w:rsid w:val="00EF200B"/>
    <w:rsid w:val="00EF3C03"/>
    <w:rsid w:val="00EF7CCE"/>
    <w:rsid w:val="00F122B1"/>
    <w:rsid w:val="00F61504"/>
    <w:rsid w:val="00F62EB9"/>
    <w:rsid w:val="00F767B1"/>
    <w:rsid w:val="00F76D8E"/>
    <w:rsid w:val="00F8034C"/>
    <w:rsid w:val="00F83937"/>
    <w:rsid w:val="00F85C3E"/>
    <w:rsid w:val="00F9043F"/>
    <w:rsid w:val="00FA663B"/>
    <w:rsid w:val="00FB48EE"/>
    <w:rsid w:val="00FD0D47"/>
    <w:rsid w:val="00FD28AF"/>
    <w:rsid w:val="14283058"/>
    <w:rsid w:val="188F6E86"/>
    <w:rsid w:val="19211719"/>
    <w:rsid w:val="25584938"/>
    <w:rsid w:val="40CB1B63"/>
    <w:rsid w:val="4E2E2FFD"/>
    <w:rsid w:val="57960FA1"/>
    <w:rsid w:val="5B5E8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4152D8"/>
  <w15:chartTrackingRefBased/>
  <w15:docId w15:val="{49B0ED4E-676F-2148-8372-9A955EDA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C58"/>
    <w:pPr>
      <w:ind w:left="720"/>
      <w:contextualSpacing/>
    </w:pPr>
  </w:style>
  <w:style w:type="character" w:styleId="Hyperlink">
    <w:name w:val="Hyperlink"/>
    <w:basedOn w:val="DefaultParagraphFont"/>
    <w:uiPriority w:val="99"/>
    <w:unhideWhenUsed/>
    <w:rsid w:val="00854262"/>
    <w:rPr>
      <w:color w:val="0563C1" w:themeColor="hyperlink"/>
      <w:u w:val="single"/>
    </w:rPr>
  </w:style>
  <w:style w:type="paragraph" w:styleId="NormalWeb">
    <w:name w:val="Normal (Web)"/>
    <w:basedOn w:val="Normal"/>
    <w:uiPriority w:val="99"/>
    <w:unhideWhenUsed/>
    <w:rsid w:val="0099678F"/>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EC10A2"/>
    <w:rPr>
      <w:sz w:val="16"/>
      <w:szCs w:val="16"/>
    </w:rPr>
  </w:style>
  <w:style w:type="paragraph" w:styleId="CommentText">
    <w:name w:val="annotation text"/>
    <w:basedOn w:val="Normal"/>
    <w:link w:val="CommentTextChar"/>
    <w:uiPriority w:val="99"/>
    <w:unhideWhenUsed/>
    <w:rsid w:val="00EC10A2"/>
    <w:rPr>
      <w:sz w:val="20"/>
      <w:szCs w:val="20"/>
    </w:rPr>
  </w:style>
  <w:style w:type="character" w:customStyle="1" w:styleId="CommentTextChar">
    <w:name w:val="Comment Text Char"/>
    <w:basedOn w:val="DefaultParagraphFont"/>
    <w:link w:val="CommentText"/>
    <w:uiPriority w:val="99"/>
    <w:rsid w:val="00EC10A2"/>
    <w:rPr>
      <w:sz w:val="20"/>
      <w:szCs w:val="20"/>
    </w:rPr>
  </w:style>
  <w:style w:type="paragraph" w:styleId="CommentSubject">
    <w:name w:val="annotation subject"/>
    <w:basedOn w:val="CommentText"/>
    <w:next w:val="CommentText"/>
    <w:link w:val="CommentSubjectChar"/>
    <w:uiPriority w:val="99"/>
    <w:semiHidden/>
    <w:unhideWhenUsed/>
    <w:rsid w:val="00EC10A2"/>
    <w:rPr>
      <w:b/>
      <w:bCs/>
    </w:rPr>
  </w:style>
  <w:style w:type="character" w:customStyle="1" w:styleId="CommentSubjectChar">
    <w:name w:val="Comment Subject Char"/>
    <w:basedOn w:val="CommentTextChar"/>
    <w:link w:val="CommentSubject"/>
    <w:uiPriority w:val="99"/>
    <w:semiHidden/>
    <w:rsid w:val="00EC10A2"/>
    <w:rPr>
      <w:b/>
      <w:bCs/>
      <w:sz w:val="20"/>
      <w:szCs w:val="20"/>
    </w:rPr>
  </w:style>
  <w:style w:type="character" w:styleId="FollowedHyperlink">
    <w:name w:val="FollowedHyperlink"/>
    <w:basedOn w:val="DefaultParagraphFont"/>
    <w:uiPriority w:val="99"/>
    <w:semiHidden/>
    <w:unhideWhenUsed/>
    <w:rsid w:val="00F767B1"/>
    <w:rPr>
      <w:color w:val="954F72" w:themeColor="followedHyperlink"/>
      <w:u w:val="single"/>
    </w:rPr>
  </w:style>
  <w:style w:type="paragraph" w:customStyle="1" w:styleId="Default">
    <w:name w:val="Default"/>
    <w:rsid w:val="00E43129"/>
    <w:pPr>
      <w:autoSpaceDE w:val="0"/>
      <w:autoSpaceDN w:val="0"/>
      <w:adjustRightInd w:val="0"/>
    </w:pPr>
    <w:rPr>
      <w:rFonts w:ascii="Times New Roman" w:hAnsi="Times New Roman" w:cs="Times New Roman"/>
      <w:color w:val="000000"/>
      <w:kern w:val="0"/>
    </w:rPr>
  </w:style>
  <w:style w:type="character" w:styleId="UnresolvedMention">
    <w:name w:val="Unresolved Mention"/>
    <w:basedOn w:val="DefaultParagraphFont"/>
    <w:uiPriority w:val="99"/>
    <w:semiHidden/>
    <w:unhideWhenUsed/>
    <w:rsid w:val="00E5352E"/>
    <w:rPr>
      <w:color w:val="605E5C"/>
      <w:shd w:val="clear" w:color="auto" w:fill="E1DFDD"/>
    </w:rPr>
  </w:style>
  <w:style w:type="paragraph" w:styleId="Header">
    <w:name w:val="header"/>
    <w:basedOn w:val="Normal"/>
    <w:link w:val="HeaderChar"/>
    <w:uiPriority w:val="99"/>
    <w:unhideWhenUsed/>
    <w:rsid w:val="00410A94"/>
    <w:pPr>
      <w:tabs>
        <w:tab w:val="center" w:pos="4680"/>
        <w:tab w:val="right" w:pos="9360"/>
      </w:tabs>
    </w:pPr>
  </w:style>
  <w:style w:type="character" w:customStyle="1" w:styleId="HeaderChar">
    <w:name w:val="Header Char"/>
    <w:basedOn w:val="DefaultParagraphFont"/>
    <w:link w:val="Header"/>
    <w:uiPriority w:val="99"/>
    <w:rsid w:val="00410A94"/>
  </w:style>
  <w:style w:type="paragraph" w:styleId="Footer">
    <w:name w:val="footer"/>
    <w:basedOn w:val="Normal"/>
    <w:link w:val="FooterChar"/>
    <w:uiPriority w:val="99"/>
    <w:unhideWhenUsed/>
    <w:rsid w:val="00410A94"/>
    <w:pPr>
      <w:tabs>
        <w:tab w:val="center" w:pos="4680"/>
        <w:tab w:val="right" w:pos="9360"/>
      </w:tabs>
    </w:pPr>
  </w:style>
  <w:style w:type="character" w:customStyle="1" w:styleId="FooterChar">
    <w:name w:val="Footer Char"/>
    <w:basedOn w:val="DefaultParagraphFont"/>
    <w:link w:val="Footer"/>
    <w:uiPriority w:val="99"/>
    <w:rsid w:val="00410A94"/>
  </w:style>
  <w:style w:type="paragraph" w:styleId="FootnoteText">
    <w:name w:val="footnote text"/>
    <w:basedOn w:val="Normal"/>
    <w:link w:val="FootnoteTextChar"/>
    <w:uiPriority w:val="99"/>
    <w:semiHidden/>
    <w:unhideWhenUsed/>
    <w:rsid w:val="00E350AE"/>
    <w:rPr>
      <w:sz w:val="20"/>
      <w:szCs w:val="20"/>
    </w:rPr>
  </w:style>
  <w:style w:type="character" w:customStyle="1" w:styleId="FootnoteTextChar">
    <w:name w:val="Footnote Text Char"/>
    <w:basedOn w:val="DefaultParagraphFont"/>
    <w:link w:val="FootnoteText"/>
    <w:uiPriority w:val="99"/>
    <w:semiHidden/>
    <w:rsid w:val="00E350AE"/>
    <w:rPr>
      <w:sz w:val="20"/>
      <w:szCs w:val="20"/>
    </w:rPr>
  </w:style>
  <w:style w:type="character" w:styleId="FootnoteReference">
    <w:name w:val="footnote reference"/>
    <w:basedOn w:val="DefaultParagraphFont"/>
    <w:uiPriority w:val="99"/>
    <w:semiHidden/>
    <w:unhideWhenUsed/>
    <w:rsid w:val="00E350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381345">
      <w:bodyDiv w:val="1"/>
      <w:marLeft w:val="0"/>
      <w:marRight w:val="0"/>
      <w:marTop w:val="0"/>
      <w:marBottom w:val="0"/>
      <w:divBdr>
        <w:top w:val="none" w:sz="0" w:space="0" w:color="auto"/>
        <w:left w:val="none" w:sz="0" w:space="0" w:color="auto"/>
        <w:bottom w:val="none" w:sz="0" w:space="0" w:color="auto"/>
        <w:right w:val="none" w:sz="0" w:space="0" w:color="auto"/>
      </w:divBdr>
      <w:divsChild>
        <w:div w:id="1675497870">
          <w:marLeft w:val="1080"/>
          <w:marRight w:val="0"/>
          <w:marTop w:val="40"/>
          <w:marBottom w:val="0"/>
          <w:divBdr>
            <w:top w:val="none" w:sz="0" w:space="0" w:color="auto"/>
            <w:left w:val="none" w:sz="0" w:space="0" w:color="auto"/>
            <w:bottom w:val="none" w:sz="0" w:space="0" w:color="auto"/>
            <w:right w:val="none" w:sz="0" w:space="0" w:color="auto"/>
          </w:divBdr>
        </w:div>
        <w:div w:id="1264722976">
          <w:marLeft w:val="1080"/>
          <w:marRight w:val="0"/>
          <w:marTop w:val="40"/>
          <w:marBottom w:val="0"/>
          <w:divBdr>
            <w:top w:val="none" w:sz="0" w:space="0" w:color="auto"/>
            <w:left w:val="none" w:sz="0" w:space="0" w:color="auto"/>
            <w:bottom w:val="none" w:sz="0" w:space="0" w:color="auto"/>
            <w:right w:val="none" w:sz="0" w:space="0" w:color="auto"/>
          </w:divBdr>
        </w:div>
        <w:div w:id="1113131391">
          <w:marLeft w:val="1699"/>
          <w:marRight w:val="0"/>
          <w:marTop w:val="40"/>
          <w:marBottom w:val="0"/>
          <w:divBdr>
            <w:top w:val="none" w:sz="0" w:space="0" w:color="auto"/>
            <w:left w:val="none" w:sz="0" w:space="0" w:color="auto"/>
            <w:bottom w:val="none" w:sz="0" w:space="0" w:color="auto"/>
            <w:right w:val="none" w:sz="0" w:space="0" w:color="auto"/>
          </w:divBdr>
        </w:div>
        <w:div w:id="117073444">
          <w:marLeft w:val="1080"/>
          <w:marRight w:val="0"/>
          <w:marTop w:val="40"/>
          <w:marBottom w:val="0"/>
          <w:divBdr>
            <w:top w:val="none" w:sz="0" w:space="0" w:color="auto"/>
            <w:left w:val="none" w:sz="0" w:space="0" w:color="auto"/>
            <w:bottom w:val="none" w:sz="0" w:space="0" w:color="auto"/>
            <w:right w:val="none" w:sz="0" w:space="0" w:color="auto"/>
          </w:divBdr>
        </w:div>
        <w:div w:id="1017076699">
          <w:marLeft w:val="1080"/>
          <w:marRight w:val="0"/>
          <w:marTop w:val="40"/>
          <w:marBottom w:val="0"/>
          <w:divBdr>
            <w:top w:val="none" w:sz="0" w:space="0" w:color="auto"/>
            <w:left w:val="none" w:sz="0" w:space="0" w:color="auto"/>
            <w:bottom w:val="none" w:sz="0" w:space="0" w:color="auto"/>
            <w:right w:val="none" w:sz="0" w:space="0" w:color="auto"/>
          </w:divBdr>
        </w:div>
        <w:div w:id="562450346">
          <w:marLeft w:val="1080"/>
          <w:marRight w:val="0"/>
          <w:marTop w:val="40"/>
          <w:marBottom w:val="0"/>
          <w:divBdr>
            <w:top w:val="none" w:sz="0" w:space="0" w:color="auto"/>
            <w:left w:val="none" w:sz="0" w:space="0" w:color="auto"/>
            <w:bottom w:val="none" w:sz="0" w:space="0" w:color="auto"/>
            <w:right w:val="none" w:sz="0" w:space="0" w:color="auto"/>
          </w:divBdr>
        </w:div>
        <w:div w:id="1153449929">
          <w:marLeft w:val="1080"/>
          <w:marRight w:val="0"/>
          <w:marTop w:val="40"/>
          <w:marBottom w:val="0"/>
          <w:divBdr>
            <w:top w:val="none" w:sz="0" w:space="0" w:color="auto"/>
            <w:left w:val="none" w:sz="0" w:space="0" w:color="auto"/>
            <w:bottom w:val="none" w:sz="0" w:space="0" w:color="auto"/>
            <w:right w:val="none" w:sz="0" w:space="0" w:color="auto"/>
          </w:divBdr>
        </w:div>
        <w:div w:id="310132874">
          <w:marLeft w:val="1080"/>
          <w:marRight w:val="0"/>
          <w:marTop w:val="40"/>
          <w:marBottom w:val="0"/>
          <w:divBdr>
            <w:top w:val="none" w:sz="0" w:space="0" w:color="auto"/>
            <w:left w:val="none" w:sz="0" w:space="0" w:color="auto"/>
            <w:bottom w:val="none" w:sz="0" w:space="0" w:color="auto"/>
            <w:right w:val="none" w:sz="0" w:space="0" w:color="auto"/>
          </w:divBdr>
        </w:div>
        <w:div w:id="1794711636">
          <w:marLeft w:val="1699"/>
          <w:marRight w:val="0"/>
          <w:marTop w:val="40"/>
          <w:marBottom w:val="0"/>
          <w:divBdr>
            <w:top w:val="none" w:sz="0" w:space="0" w:color="auto"/>
            <w:left w:val="none" w:sz="0" w:space="0" w:color="auto"/>
            <w:bottom w:val="none" w:sz="0" w:space="0" w:color="auto"/>
            <w:right w:val="none" w:sz="0" w:space="0" w:color="auto"/>
          </w:divBdr>
        </w:div>
        <w:div w:id="1681392664">
          <w:marLeft w:val="1080"/>
          <w:marRight w:val="0"/>
          <w:marTop w:val="40"/>
          <w:marBottom w:val="0"/>
          <w:divBdr>
            <w:top w:val="none" w:sz="0" w:space="0" w:color="auto"/>
            <w:left w:val="none" w:sz="0" w:space="0" w:color="auto"/>
            <w:bottom w:val="none" w:sz="0" w:space="0" w:color="auto"/>
            <w:right w:val="none" w:sz="0" w:space="0" w:color="auto"/>
          </w:divBdr>
        </w:div>
      </w:divsChild>
    </w:div>
    <w:div w:id="545600738">
      <w:bodyDiv w:val="1"/>
      <w:marLeft w:val="0"/>
      <w:marRight w:val="0"/>
      <w:marTop w:val="0"/>
      <w:marBottom w:val="0"/>
      <w:divBdr>
        <w:top w:val="none" w:sz="0" w:space="0" w:color="auto"/>
        <w:left w:val="none" w:sz="0" w:space="0" w:color="auto"/>
        <w:bottom w:val="none" w:sz="0" w:space="0" w:color="auto"/>
        <w:right w:val="none" w:sz="0" w:space="0" w:color="auto"/>
      </w:divBdr>
      <w:divsChild>
        <w:div w:id="724766469">
          <w:marLeft w:val="1080"/>
          <w:marRight w:val="0"/>
          <w:marTop w:val="80"/>
          <w:marBottom w:val="0"/>
          <w:divBdr>
            <w:top w:val="none" w:sz="0" w:space="0" w:color="auto"/>
            <w:left w:val="none" w:sz="0" w:space="0" w:color="auto"/>
            <w:bottom w:val="none" w:sz="0" w:space="0" w:color="auto"/>
            <w:right w:val="none" w:sz="0" w:space="0" w:color="auto"/>
          </w:divBdr>
        </w:div>
        <w:div w:id="45762674">
          <w:marLeft w:val="1080"/>
          <w:marRight w:val="0"/>
          <w:marTop w:val="80"/>
          <w:marBottom w:val="0"/>
          <w:divBdr>
            <w:top w:val="none" w:sz="0" w:space="0" w:color="auto"/>
            <w:left w:val="none" w:sz="0" w:space="0" w:color="auto"/>
            <w:bottom w:val="none" w:sz="0" w:space="0" w:color="auto"/>
            <w:right w:val="none" w:sz="0" w:space="0" w:color="auto"/>
          </w:divBdr>
        </w:div>
        <w:div w:id="735708829">
          <w:marLeft w:val="1080"/>
          <w:marRight w:val="0"/>
          <w:marTop w:val="80"/>
          <w:marBottom w:val="0"/>
          <w:divBdr>
            <w:top w:val="none" w:sz="0" w:space="0" w:color="auto"/>
            <w:left w:val="none" w:sz="0" w:space="0" w:color="auto"/>
            <w:bottom w:val="none" w:sz="0" w:space="0" w:color="auto"/>
            <w:right w:val="none" w:sz="0" w:space="0" w:color="auto"/>
          </w:divBdr>
        </w:div>
        <w:div w:id="2042630934">
          <w:marLeft w:val="1080"/>
          <w:marRight w:val="0"/>
          <w:marTop w:val="80"/>
          <w:marBottom w:val="0"/>
          <w:divBdr>
            <w:top w:val="none" w:sz="0" w:space="0" w:color="auto"/>
            <w:left w:val="none" w:sz="0" w:space="0" w:color="auto"/>
            <w:bottom w:val="none" w:sz="0" w:space="0" w:color="auto"/>
            <w:right w:val="none" w:sz="0" w:space="0" w:color="auto"/>
          </w:divBdr>
        </w:div>
        <w:div w:id="2365038">
          <w:marLeft w:val="1699"/>
          <w:marRight w:val="0"/>
          <w:marTop w:val="80"/>
          <w:marBottom w:val="0"/>
          <w:divBdr>
            <w:top w:val="none" w:sz="0" w:space="0" w:color="auto"/>
            <w:left w:val="none" w:sz="0" w:space="0" w:color="auto"/>
            <w:bottom w:val="none" w:sz="0" w:space="0" w:color="auto"/>
            <w:right w:val="none" w:sz="0" w:space="0" w:color="auto"/>
          </w:divBdr>
        </w:div>
        <w:div w:id="1003702983">
          <w:marLeft w:val="1080"/>
          <w:marRight w:val="0"/>
          <w:marTop w:val="80"/>
          <w:marBottom w:val="0"/>
          <w:divBdr>
            <w:top w:val="none" w:sz="0" w:space="0" w:color="auto"/>
            <w:left w:val="none" w:sz="0" w:space="0" w:color="auto"/>
            <w:bottom w:val="none" w:sz="0" w:space="0" w:color="auto"/>
            <w:right w:val="none" w:sz="0" w:space="0" w:color="auto"/>
          </w:divBdr>
        </w:div>
        <w:div w:id="1509827871">
          <w:marLeft w:val="1080"/>
          <w:marRight w:val="0"/>
          <w:marTop w:val="80"/>
          <w:marBottom w:val="0"/>
          <w:divBdr>
            <w:top w:val="none" w:sz="0" w:space="0" w:color="auto"/>
            <w:left w:val="none" w:sz="0" w:space="0" w:color="auto"/>
            <w:bottom w:val="none" w:sz="0" w:space="0" w:color="auto"/>
            <w:right w:val="none" w:sz="0" w:space="0" w:color="auto"/>
          </w:divBdr>
        </w:div>
        <w:div w:id="1462726761">
          <w:marLeft w:val="1080"/>
          <w:marRight w:val="0"/>
          <w:marTop w:val="80"/>
          <w:marBottom w:val="0"/>
          <w:divBdr>
            <w:top w:val="none" w:sz="0" w:space="0" w:color="auto"/>
            <w:left w:val="none" w:sz="0" w:space="0" w:color="auto"/>
            <w:bottom w:val="none" w:sz="0" w:space="0" w:color="auto"/>
            <w:right w:val="none" w:sz="0" w:space="0" w:color="auto"/>
          </w:divBdr>
        </w:div>
      </w:divsChild>
    </w:div>
    <w:div w:id="558782809">
      <w:bodyDiv w:val="1"/>
      <w:marLeft w:val="0"/>
      <w:marRight w:val="0"/>
      <w:marTop w:val="0"/>
      <w:marBottom w:val="0"/>
      <w:divBdr>
        <w:top w:val="none" w:sz="0" w:space="0" w:color="auto"/>
        <w:left w:val="none" w:sz="0" w:space="0" w:color="auto"/>
        <w:bottom w:val="none" w:sz="0" w:space="0" w:color="auto"/>
        <w:right w:val="none" w:sz="0" w:space="0" w:color="auto"/>
      </w:divBdr>
      <w:divsChild>
        <w:div w:id="1054501143">
          <w:marLeft w:val="1080"/>
          <w:marRight w:val="0"/>
          <w:marTop w:val="80"/>
          <w:marBottom w:val="0"/>
          <w:divBdr>
            <w:top w:val="none" w:sz="0" w:space="0" w:color="auto"/>
            <w:left w:val="none" w:sz="0" w:space="0" w:color="auto"/>
            <w:bottom w:val="none" w:sz="0" w:space="0" w:color="auto"/>
            <w:right w:val="none" w:sz="0" w:space="0" w:color="auto"/>
          </w:divBdr>
        </w:div>
        <w:div w:id="691220766">
          <w:marLeft w:val="1699"/>
          <w:marRight w:val="0"/>
          <w:marTop w:val="40"/>
          <w:marBottom w:val="0"/>
          <w:divBdr>
            <w:top w:val="none" w:sz="0" w:space="0" w:color="auto"/>
            <w:left w:val="none" w:sz="0" w:space="0" w:color="auto"/>
            <w:bottom w:val="none" w:sz="0" w:space="0" w:color="auto"/>
            <w:right w:val="none" w:sz="0" w:space="0" w:color="auto"/>
          </w:divBdr>
        </w:div>
        <w:div w:id="1883780905">
          <w:marLeft w:val="1699"/>
          <w:marRight w:val="0"/>
          <w:marTop w:val="40"/>
          <w:marBottom w:val="0"/>
          <w:divBdr>
            <w:top w:val="none" w:sz="0" w:space="0" w:color="auto"/>
            <w:left w:val="none" w:sz="0" w:space="0" w:color="auto"/>
            <w:bottom w:val="none" w:sz="0" w:space="0" w:color="auto"/>
            <w:right w:val="none" w:sz="0" w:space="0" w:color="auto"/>
          </w:divBdr>
        </w:div>
        <w:div w:id="376248042">
          <w:marLeft w:val="1699"/>
          <w:marRight w:val="0"/>
          <w:marTop w:val="40"/>
          <w:marBottom w:val="0"/>
          <w:divBdr>
            <w:top w:val="none" w:sz="0" w:space="0" w:color="auto"/>
            <w:left w:val="none" w:sz="0" w:space="0" w:color="auto"/>
            <w:bottom w:val="none" w:sz="0" w:space="0" w:color="auto"/>
            <w:right w:val="none" w:sz="0" w:space="0" w:color="auto"/>
          </w:divBdr>
        </w:div>
        <w:div w:id="1984845390">
          <w:marLeft w:val="1699"/>
          <w:marRight w:val="0"/>
          <w:marTop w:val="40"/>
          <w:marBottom w:val="0"/>
          <w:divBdr>
            <w:top w:val="none" w:sz="0" w:space="0" w:color="auto"/>
            <w:left w:val="none" w:sz="0" w:space="0" w:color="auto"/>
            <w:bottom w:val="none" w:sz="0" w:space="0" w:color="auto"/>
            <w:right w:val="none" w:sz="0" w:space="0" w:color="auto"/>
          </w:divBdr>
        </w:div>
        <w:div w:id="10571923">
          <w:marLeft w:val="1699"/>
          <w:marRight w:val="0"/>
          <w:marTop w:val="40"/>
          <w:marBottom w:val="0"/>
          <w:divBdr>
            <w:top w:val="none" w:sz="0" w:space="0" w:color="auto"/>
            <w:left w:val="none" w:sz="0" w:space="0" w:color="auto"/>
            <w:bottom w:val="none" w:sz="0" w:space="0" w:color="auto"/>
            <w:right w:val="none" w:sz="0" w:space="0" w:color="auto"/>
          </w:divBdr>
        </w:div>
        <w:div w:id="1087652429">
          <w:marLeft w:val="1699"/>
          <w:marRight w:val="0"/>
          <w:marTop w:val="40"/>
          <w:marBottom w:val="0"/>
          <w:divBdr>
            <w:top w:val="none" w:sz="0" w:space="0" w:color="auto"/>
            <w:left w:val="none" w:sz="0" w:space="0" w:color="auto"/>
            <w:bottom w:val="none" w:sz="0" w:space="0" w:color="auto"/>
            <w:right w:val="none" w:sz="0" w:space="0" w:color="auto"/>
          </w:divBdr>
        </w:div>
        <w:div w:id="705831123">
          <w:marLeft w:val="1080"/>
          <w:marRight w:val="0"/>
          <w:marTop w:val="40"/>
          <w:marBottom w:val="0"/>
          <w:divBdr>
            <w:top w:val="none" w:sz="0" w:space="0" w:color="auto"/>
            <w:left w:val="none" w:sz="0" w:space="0" w:color="auto"/>
            <w:bottom w:val="none" w:sz="0" w:space="0" w:color="auto"/>
            <w:right w:val="none" w:sz="0" w:space="0" w:color="auto"/>
          </w:divBdr>
        </w:div>
        <w:div w:id="1906915456">
          <w:marLeft w:val="1699"/>
          <w:marRight w:val="0"/>
          <w:marTop w:val="40"/>
          <w:marBottom w:val="0"/>
          <w:divBdr>
            <w:top w:val="none" w:sz="0" w:space="0" w:color="auto"/>
            <w:left w:val="none" w:sz="0" w:space="0" w:color="auto"/>
            <w:bottom w:val="none" w:sz="0" w:space="0" w:color="auto"/>
            <w:right w:val="none" w:sz="0" w:space="0" w:color="auto"/>
          </w:divBdr>
        </w:div>
      </w:divsChild>
    </w:div>
    <w:div w:id="1113283287">
      <w:bodyDiv w:val="1"/>
      <w:marLeft w:val="0"/>
      <w:marRight w:val="0"/>
      <w:marTop w:val="0"/>
      <w:marBottom w:val="0"/>
      <w:divBdr>
        <w:top w:val="none" w:sz="0" w:space="0" w:color="auto"/>
        <w:left w:val="none" w:sz="0" w:space="0" w:color="auto"/>
        <w:bottom w:val="none" w:sz="0" w:space="0" w:color="auto"/>
        <w:right w:val="none" w:sz="0" w:space="0" w:color="auto"/>
      </w:divBdr>
      <w:divsChild>
        <w:div w:id="450586557">
          <w:marLeft w:val="1080"/>
          <w:marRight w:val="0"/>
          <w:marTop w:val="80"/>
          <w:marBottom w:val="0"/>
          <w:divBdr>
            <w:top w:val="none" w:sz="0" w:space="0" w:color="auto"/>
            <w:left w:val="none" w:sz="0" w:space="0" w:color="auto"/>
            <w:bottom w:val="none" w:sz="0" w:space="0" w:color="auto"/>
            <w:right w:val="none" w:sz="0" w:space="0" w:color="auto"/>
          </w:divBdr>
        </w:div>
        <w:div w:id="820580631">
          <w:marLeft w:val="1080"/>
          <w:marRight w:val="0"/>
          <w:marTop w:val="80"/>
          <w:marBottom w:val="0"/>
          <w:divBdr>
            <w:top w:val="none" w:sz="0" w:space="0" w:color="auto"/>
            <w:left w:val="none" w:sz="0" w:space="0" w:color="auto"/>
            <w:bottom w:val="none" w:sz="0" w:space="0" w:color="auto"/>
            <w:right w:val="none" w:sz="0" w:space="0" w:color="auto"/>
          </w:divBdr>
        </w:div>
        <w:div w:id="783427258">
          <w:marLeft w:val="1080"/>
          <w:marRight w:val="0"/>
          <w:marTop w:val="80"/>
          <w:marBottom w:val="0"/>
          <w:divBdr>
            <w:top w:val="none" w:sz="0" w:space="0" w:color="auto"/>
            <w:left w:val="none" w:sz="0" w:space="0" w:color="auto"/>
            <w:bottom w:val="none" w:sz="0" w:space="0" w:color="auto"/>
            <w:right w:val="none" w:sz="0" w:space="0" w:color="auto"/>
          </w:divBdr>
        </w:div>
        <w:div w:id="918951154">
          <w:marLeft w:val="1080"/>
          <w:marRight w:val="0"/>
          <w:marTop w:val="80"/>
          <w:marBottom w:val="0"/>
          <w:divBdr>
            <w:top w:val="none" w:sz="0" w:space="0" w:color="auto"/>
            <w:left w:val="none" w:sz="0" w:space="0" w:color="auto"/>
            <w:bottom w:val="none" w:sz="0" w:space="0" w:color="auto"/>
            <w:right w:val="none" w:sz="0" w:space="0" w:color="auto"/>
          </w:divBdr>
        </w:div>
        <w:div w:id="36591824">
          <w:marLeft w:val="1699"/>
          <w:marRight w:val="0"/>
          <w:marTop w:val="80"/>
          <w:marBottom w:val="0"/>
          <w:divBdr>
            <w:top w:val="none" w:sz="0" w:space="0" w:color="auto"/>
            <w:left w:val="none" w:sz="0" w:space="0" w:color="auto"/>
            <w:bottom w:val="none" w:sz="0" w:space="0" w:color="auto"/>
            <w:right w:val="none" w:sz="0" w:space="0" w:color="auto"/>
          </w:divBdr>
        </w:div>
        <w:div w:id="1307050318">
          <w:marLeft w:val="1080"/>
          <w:marRight w:val="0"/>
          <w:marTop w:val="80"/>
          <w:marBottom w:val="0"/>
          <w:divBdr>
            <w:top w:val="none" w:sz="0" w:space="0" w:color="auto"/>
            <w:left w:val="none" w:sz="0" w:space="0" w:color="auto"/>
            <w:bottom w:val="none" w:sz="0" w:space="0" w:color="auto"/>
            <w:right w:val="none" w:sz="0" w:space="0" w:color="auto"/>
          </w:divBdr>
        </w:div>
        <w:div w:id="1235237967">
          <w:marLeft w:val="1699"/>
          <w:marRight w:val="0"/>
          <w:marTop w:val="80"/>
          <w:marBottom w:val="0"/>
          <w:divBdr>
            <w:top w:val="none" w:sz="0" w:space="0" w:color="auto"/>
            <w:left w:val="none" w:sz="0" w:space="0" w:color="auto"/>
            <w:bottom w:val="none" w:sz="0" w:space="0" w:color="auto"/>
            <w:right w:val="none" w:sz="0" w:space="0" w:color="auto"/>
          </w:divBdr>
        </w:div>
        <w:div w:id="1681620238">
          <w:marLeft w:val="1080"/>
          <w:marRight w:val="0"/>
          <w:marTop w:val="80"/>
          <w:marBottom w:val="0"/>
          <w:divBdr>
            <w:top w:val="none" w:sz="0" w:space="0" w:color="auto"/>
            <w:left w:val="none" w:sz="0" w:space="0" w:color="auto"/>
            <w:bottom w:val="none" w:sz="0" w:space="0" w:color="auto"/>
            <w:right w:val="none" w:sz="0" w:space="0" w:color="auto"/>
          </w:divBdr>
        </w:div>
        <w:div w:id="1811904227">
          <w:marLeft w:val="1080"/>
          <w:marRight w:val="0"/>
          <w:marTop w:val="80"/>
          <w:marBottom w:val="0"/>
          <w:divBdr>
            <w:top w:val="none" w:sz="0" w:space="0" w:color="auto"/>
            <w:left w:val="none" w:sz="0" w:space="0" w:color="auto"/>
            <w:bottom w:val="none" w:sz="0" w:space="0" w:color="auto"/>
            <w:right w:val="none" w:sz="0" w:space="0" w:color="auto"/>
          </w:divBdr>
        </w:div>
        <w:div w:id="1219317486">
          <w:marLeft w:val="1080"/>
          <w:marRight w:val="0"/>
          <w:marTop w:val="80"/>
          <w:marBottom w:val="0"/>
          <w:divBdr>
            <w:top w:val="none" w:sz="0" w:space="0" w:color="auto"/>
            <w:left w:val="none" w:sz="0" w:space="0" w:color="auto"/>
            <w:bottom w:val="none" w:sz="0" w:space="0" w:color="auto"/>
            <w:right w:val="none" w:sz="0" w:space="0" w:color="auto"/>
          </w:divBdr>
        </w:div>
        <w:div w:id="2038851862">
          <w:marLeft w:val="1699"/>
          <w:marRight w:val="0"/>
          <w:marTop w:val="80"/>
          <w:marBottom w:val="0"/>
          <w:divBdr>
            <w:top w:val="none" w:sz="0" w:space="0" w:color="auto"/>
            <w:left w:val="none" w:sz="0" w:space="0" w:color="auto"/>
            <w:bottom w:val="none" w:sz="0" w:space="0" w:color="auto"/>
            <w:right w:val="none" w:sz="0" w:space="0" w:color="auto"/>
          </w:divBdr>
        </w:div>
        <w:div w:id="45377215">
          <w:marLeft w:val="1699"/>
          <w:marRight w:val="0"/>
          <w:marTop w:val="80"/>
          <w:marBottom w:val="0"/>
          <w:divBdr>
            <w:top w:val="none" w:sz="0" w:space="0" w:color="auto"/>
            <w:left w:val="none" w:sz="0" w:space="0" w:color="auto"/>
            <w:bottom w:val="none" w:sz="0" w:space="0" w:color="auto"/>
            <w:right w:val="none" w:sz="0" w:space="0" w:color="auto"/>
          </w:divBdr>
        </w:div>
        <w:div w:id="1175152184">
          <w:marLeft w:val="1080"/>
          <w:marRight w:val="0"/>
          <w:marTop w:val="80"/>
          <w:marBottom w:val="0"/>
          <w:divBdr>
            <w:top w:val="none" w:sz="0" w:space="0" w:color="auto"/>
            <w:left w:val="none" w:sz="0" w:space="0" w:color="auto"/>
            <w:bottom w:val="none" w:sz="0" w:space="0" w:color="auto"/>
            <w:right w:val="none" w:sz="0" w:space="0" w:color="auto"/>
          </w:divBdr>
        </w:div>
        <w:div w:id="1301691815">
          <w:marLeft w:val="1699"/>
          <w:marRight w:val="0"/>
          <w:marTop w:val="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cs.cornell.edu/facilities-inventory-budget-model-overview-presentation" TargetMode="External"/><Relationship Id="rId13" Type="http://schemas.openxmlformats.org/officeDocument/2006/relationships/hyperlink" Target="https://www.appa.org/bok/cleaning-operation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bp.cornell.edu/wp-content/uploads/2022/02/Principles_SpaceMgmt_Feb_2022.pdf" TargetMode="External"/><Relationship Id="rId12" Type="http://schemas.openxmlformats.org/officeDocument/2006/relationships/hyperlink" Target="https://policy.cornell.edu/policy-library/management-keys-and-other-access-control-system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bp.cornell.edu/home/space-planning/scheduling-related-polici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bp.cornell.edu/home/space-planning/scheduling-related-policies/" TargetMode="External"/><Relationship Id="rId5" Type="http://schemas.openxmlformats.org/officeDocument/2006/relationships/footnotes" Target="footnotes.xml"/><Relationship Id="rId15" Type="http://schemas.openxmlformats.org/officeDocument/2006/relationships/hyperlink" Target="https://dbp.cornell.edu/home/space-planning/scheduling-related-policies/" TargetMode="External"/><Relationship Id="rId10" Type="http://schemas.openxmlformats.org/officeDocument/2006/relationships/hyperlink" Target="https://dbp.cornell.edu/wp-content/uploads/2023/09/AES-Policy_2023_August.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bp.cornell.edu/home/space-planning/scheduling-related-policies/" TargetMode="External"/><Relationship Id="rId14" Type="http://schemas.openxmlformats.org/officeDocument/2006/relationships/hyperlink" Target="https://fcs.cornell.edu/projects/start-projec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9</Pages>
  <Words>3679</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Mary-Lynn Cummings</dc:creator>
  <cp:keywords/>
  <dc:description/>
  <cp:lastModifiedBy>Mary-Lynn Cummings</cp:lastModifiedBy>
  <cp:revision>12</cp:revision>
  <cp:lastPrinted>2023-12-11T16:35:00Z</cp:lastPrinted>
  <dcterms:created xsi:type="dcterms:W3CDTF">2025-07-10T18:56:00Z</dcterms:created>
  <dcterms:modified xsi:type="dcterms:W3CDTF">2025-07-10T19:29:00Z</dcterms:modified>
</cp:coreProperties>
</file>